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Theme="minorEastAsia" w:hAnsiTheme="minorEastAsia" w:eastAsiaTheme="minorEastAsia"/>
          <w:b/>
          <w:color w:val="auto"/>
          <w:sz w:val="24"/>
          <w:szCs w:val="24"/>
          <w:highlight w:val="none"/>
          <w:lang w:val="en-US" w:eastAsia="zh-CN"/>
        </w:rPr>
      </w:pPr>
      <w:r>
        <w:rPr>
          <w:rFonts w:hint="eastAsia" w:asciiTheme="minorEastAsia" w:hAnsiTheme="minorEastAsia"/>
          <w:b/>
          <w:color w:val="auto"/>
          <w:sz w:val="24"/>
          <w:szCs w:val="24"/>
          <w:highlight w:val="none"/>
          <w:lang w:val="en-US" w:eastAsia="zh-CN"/>
        </w:rPr>
        <w:t>采购标的信息</w:t>
      </w:r>
    </w:p>
    <w:p>
      <w:pPr>
        <w:adjustRightInd w:val="0"/>
        <w:snapToGrid w:val="0"/>
        <w:spacing w:line="360" w:lineRule="auto"/>
        <w:rPr>
          <w:rFonts w:hint="eastAsia" w:ascii="宋体" w:hAnsi="宋体" w:eastAsia="宋体" w:cs="宋体"/>
          <w:b/>
          <w:color w:val="auto"/>
          <w:sz w:val="24"/>
          <w:szCs w:val="24"/>
          <w:highlight w:val="none"/>
        </w:rPr>
      </w:pPr>
      <w:bookmarkStart w:id="1" w:name="_GoBack"/>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维保设备清单</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849"/>
        <w:gridCol w:w="1493"/>
        <w:gridCol w:w="2993"/>
        <w:gridCol w:w="1213"/>
        <w:gridCol w:w="711"/>
        <w:gridCol w:w="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 w:type="pct"/>
            <w:vAlign w:val="center"/>
          </w:tcPr>
          <w:p>
            <w:pPr>
              <w:wordWrap w:val="0"/>
              <w:overflowPunct w:val="0"/>
              <w:topLinePunct/>
              <w:adjustRightInd w:val="0"/>
              <w:snapToGrid w:val="0"/>
              <w:spacing w:line="360" w:lineRule="auto"/>
              <w:jc w:val="center"/>
              <w:rPr>
                <w:rFonts w:hint="eastAsia" w:ascii="宋体" w:hAnsi="宋体" w:eastAsia="宋体" w:cs="宋体"/>
                <w:b/>
                <w:color w:val="auto"/>
                <w:sz w:val="24"/>
                <w:szCs w:val="24"/>
                <w:highlight w:val="none"/>
              </w:rPr>
            </w:pPr>
            <w:bookmarkStart w:id="0" w:name="_Hlk80696198"/>
            <w:r>
              <w:rPr>
                <w:rFonts w:hint="eastAsia" w:ascii="宋体" w:hAnsi="宋体" w:eastAsia="宋体" w:cs="宋体"/>
                <w:b/>
                <w:color w:val="auto"/>
                <w:sz w:val="24"/>
                <w:szCs w:val="24"/>
                <w:highlight w:val="none"/>
              </w:rPr>
              <w:t>序号</w:t>
            </w:r>
          </w:p>
        </w:tc>
        <w:tc>
          <w:tcPr>
            <w:tcW w:w="498" w:type="pct"/>
            <w:vAlign w:val="center"/>
          </w:tcPr>
          <w:p>
            <w:pPr>
              <w:wordWrap w:val="0"/>
              <w:overflowPunct w:val="0"/>
              <w:topLinePunct/>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系统</w:t>
            </w:r>
          </w:p>
          <w:p>
            <w:pPr>
              <w:wordWrap w:val="0"/>
              <w:overflowPunct w:val="0"/>
              <w:topLinePunct/>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876" w:type="pct"/>
            <w:vAlign w:val="center"/>
          </w:tcPr>
          <w:p>
            <w:pPr>
              <w:wordWrap w:val="0"/>
              <w:overflowPunct w:val="0"/>
              <w:topLinePunct/>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设备名称</w:t>
            </w:r>
          </w:p>
        </w:tc>
        <w:tc>
          <w:tcPr>
            <w:tcW w:w="1756" w:type="pct"/>
            <w:vAlign w:val="center"/>
          </w:tcPr>
          <w:p>
            <w:pPr>
              <w:wordWrap w:val="0"/>
              <w:overflowPunct w:val="0"/>
              <w:topLinePunct/>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设备型号、简要描述</w:t>
            </w:r>
          </w:p>
        </w:tc>
        <w:tc>
          <w:tcPr>
            <w:tcW w:w="712" w:type="pct"/>
            <w:vAlign w:val="center"/>
          </w:tcPr>
          <w:p>
            <w:pPr>
              <w:wordWrap w:val="0"/>
              <w:overflowPunct w:val="0"/>
              <w:topLinePunct/>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品牌</w:t>
            </w:r>
          </w:p>
        </w:tc>
        <w:tc>
          <w:tcPr>
            <w:tcW w:w="417" w:type="pct"/>
            <w:vAlign w:val="center"/>
          </w:tcPr>
          <w:p>
            <w:pPr>
              <w:wordWrap w:val="0"/>
              <w:overflowPunct w:val="0"/>
              <w:topLinePunct/>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c>
          <w:tcPr>
            <w:tcW w:w="331" w:type="pct"/>
            <w:vAlign w:val="center"/>
          </w:tcPr>
          <w:p>
            <w:pPr>
              <w:wordWrap w:val="0"/>
              <w:overflowPunct w:val="0"/>
              <w:topLinePunct/>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411" w:type="pct"/>
            <w:vMerge w:val="restar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98" w:type="pct"/>
            <w:vMerge w:val="restar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存储</w:t>
            </w:r>
          </w:p>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w:t>
            </w:r>
          </w:p>
        </w:tc>
        <w:tc>
          <w:tcPr>
            <w:tcW w:w="876" w:type="pc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CX4-120C</w:t>
            </w:r>
          </w:p>
        </w:tc>
        <w:tc>
          <w:tcPr>
            <w:tcW w:w="1756" w:type="pct"/>
            <w:vAlign w:val="center"/>
          </w:tcPr>
          <w:p>
            <w:pPr>
              <w:wordWrap w:val="0"/>
              <w:overflowPunct w:val="0"/>
              <w:topLinePunct/>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CX4-120C 磁盘阵列控制器模块，双控制器、电源</w:t>
            </w:r>
          </w:p>
        </w:tc>
        <w:tc>
          <w:tcPr>
            <w:tcW w:w="712" w:type="pc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EMC</w:t>
            </w:r>
          </w:p>
        </w:tc>
        <w:tc>
          <w:tcPr>
            <w:tcW w:w="417" w:type="pct"/>
            <w:vMerge w:val="restar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331" w:type="pct"/>
            <w:vMerge w:val="restar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c>
          <w:tcPr>
            <w:tcW w:w="498"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c>
          <w:tcPr>
            <w:tcW w:w="876" w:type="pc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CX-4PDAE</w:t>
            </w:r>
          </w:p>
        </w:tc>
        <w:tc>
          <w:tcPr>
            <w:tcW w:w="1756" w:type="pct"/>
            <w:vAlign w:val="center"/>
          </w:tcPr>
          <w:p>
            <w:pPr>
              <w:wordWrap w:val="0"/>
              <w:overflowPunct w:val="0"/>
              <w:topLinePunct/>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4Gb接口磁盘基本模块</w:t>
            </w:r>
          </w:p>
        </w:tc>
        <w:tc>
          <w:tcPr>
            <w:tcW w:w="712" w:type="pc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EMC</w:t>
            </w:r>
          </w:p>
        </w:tc>
        <w:tc>
          <w:tcPr>
            <w:tcW w:w="417"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c>
          <w:tcPr>
            <w:tcW w:w="331"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11"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c>
          <w:tcPr>
            <w:tcW w:w="498"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c>
          <w:tcPr>
            <w:tcW w:w="876" w:type="pc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T-U</w:t>
            </w:r>
          </w:p>
        </w:tc>
        <w:tc>
          <w:tcPr>
            <w:tcW w:w="1756" w:type="pct"/>
            <w:vAlign w:val="center"/>
          </w:tcPr>
          <w:p>
            <w:pPr>
              <w:wordWrap w:val="0"/>
              <w:overflowPunct w:val="0"/>
              <w:topLinePunct/>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DAE</w:t>
            </w:r>
          </w:p>
        </w:tc>
        <w:tc>
          <w:tcPr>
            <w:tcW w:w="712" w:type="pc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EMC</w:t>
            </w:r>
          </w:p>
        </w:tc>
        <w:tc>
          <w:tcPr>
            <w:tcW w:w="417"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c>
          <w:tcPr>
            <w:tcW w:w="331"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11" w:type="pct"/>
            <w:vMerge w:val="restar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98" w:type="pct"/>
            <w:vMerge w:val="restar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UPS</w:t>
            </w:r>
          </w:p>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w:t>
            </w:r>
          </w:p>
        </w:tc>
        <w:tc>
          <w:tcPr>
            <w:tcW w:w="876" w:type="pc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模块化UPS SY48K48H-PD</w:t>
            </w:r>
          </w:p>
        </w:tc>
        <w:tc>
          <w:tcPr>
            <w:tcW w:w="1756" w:type="pct"/>
            <w:vAlign w:val="center"/>
          </w:tcPr>
          <w:p>
            <w:pPr>
              <w:wordWrap w:val="0"/>
              <w:overflowPunct w:val="0"/>
              <w:topLinePunct/>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SY48K48H-PD模块化UPS,含3个功率模块，4组电池模块，额定输出32KVA N+1，自带模块化配电系统。</w:t>
            </w:r>
          </w:p>
        </w:tc>
        <w:tc>
          <w:tcPr>
            <w:tcW w:w="712" w:type="pc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APC</w:t>
            </w:r>
          </w:p>
        </w:tc>
        <w:tc>
          <w:tcPr>
            <w:tcW w:w="417" w:type="pc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331" w:type="pc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411"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c>
          <w:tcPr>
            <w:tcW w:w="498"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c>
          <w:tcPr>
            <w:tcW w:w="876" w:type="pc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模块化配电系统</w:t>
            </w:r>
          </w:p>
        </w:tc>
        <w:tc>
          <w:tcPr>
            <w:tcW w:w="1756" w:type="pct"/>
            <w:vAlign w:val="center"/>
          </w:tcPr>
          <w:p>
            <w:pPr>
              <w:wordWrap w:val="0"/>
              <w:overflowPunct w:val="0"/>
              <w:topLinePunct/>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模块化配电系统，每个模块含3个16A单相输出开关，自带电流电压检测系统，热插拔开关。</w:t>
            </w:r>
          </w:p>
        </w:tc>
        <w:tc>
          <w:tcPr>
            <w:tcW w:w="712" w:type="pc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APC</w:t>
            </w:r>
          </w:p>
        </w:tc>
        <w:tc>
          <w:tcPr>
            <w:tcW w:w="417" w:type="pc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331" w:type="pc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 w:type="pct"/>
            <w:vMerge w:val="restar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98" w:type="pct"/>
            <w:vMerge w:val="restar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w:t>
            </w:r>
          </w:p>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w:t>
            </w:r>
          </w:p>
        </w:tc>
        <w:tc>
          <w:tcPr>
            <w:tcW w:w="876"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网闸</w:t>
            </w:r>
          </w:p>
        </w:tc>
        <w:tc>
          <w:tcPr>
            <w:tcW w:w="1756" w:type="pct"/>
            <w:noWrap/>
            <w:vAlign w:val="center"/>
          </w:tcPr>
          <w:p>
            <w:pPr>
              <w:wordWrap w:val="0"/>
              <w:overflowPunct w:val="0"/>
              <w:topLinePunct/>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Ferry Way 2.0 S3500L</w:t>
            </w:r>
          </w:p>
        </w:tc>
        <w:tc>
          <w:tcPr>
            <w:tcW w:w="712"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金电</w:t>
            </w:r>
          </w:p>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网安</w:t>
            </w:r>
          </w:p>
        </w:tc>
        <w:tc>
          <w:tcPr>
            <w:tcW w:w="417" w:type="pc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331"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c>
          <w:tcPr>
            <w:tcW w:w="498"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c>
          <w:tcPr>
            <w:tcW w:w="876"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WAF</w:t>
            </w:r>
          </w:p>
        </w:tc>
        <w:tc>
          <w:tcPr>
            <w:tcW w:w="1756" w:type="pct"/>
            <w:noWrap/>
            <w:vAlign w:val="center"/>
          </w:tcPr>
          <w:p>
            <w:pPr>
              <w:wordWrap w:val="0"/>
              <w:overflowPunct w:val="0"/>
              <w:topLinePunct/>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TWF-61138</w:t>
            </w:r>
          </w:p>
        </w:tc>
        <w:tc>
          <w:tcPr>
            <w:tcW w:w="712"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天融信</w:t>
            </w:r>
          </w:p>
        </w:tc>
        <w:tc>
          <w:tcPr>
            <w:tcW w:w="417" w:type="pc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331"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c>
          <w:tcPr>
            <w:tcW w:w="498"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c>
          <w:tcPr>
            <w:tcW w:w="876"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数据库审计</w:t>
            </w:r>
          </w:p>
        </w:tc>
        <w:tc>
          <w:tcPr>
            <w:tcW w:w="1756" w:type="pct"/>
            <w:noWrap/>
            <w:vAlign w:val="center"/>
          </w:tcPr>
          <w:p>
            <w:pPr>
              <w:wordWrap w:val="0"/>
              <w:overflowPunct w:val="0"/>
              <w:topLinePunct/>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TA-11424-DB</w:t>
            </w:r>
          </w:p>
        </w:tc>
        <w:tc>
          <w:tcPr>
            <w:tcW w:w="712"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天融信</w:t>
            </w:r>
          </w:p>
        </w:tc>
        <w:tc>
          <w:tcPr>
            <w:tcW w:w="417" w:type="pc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331"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c>
          <w:tcPr>
            <w:tcW w:w="498"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c>
          <w:tcPr>
            <w:tcW w:w="876"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日志审计</w:t>
            </w:r>
          </w:p>
        </w:tc>
        <w:tc>
          <w:tcPr>
            <w:tcW w:w="1756" w:type="pct"/>
            <w:noWrap/>
            <w:vAlign w:val="center"/>
          </w:tcPr>
          <w:p>
            <w:pPr>
              <w:wordWrap w:val="0"/>
              <w:overflowPunct w:val="0"/>
              <w:topLinePunct/>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TA-L-SE</w:t>
            </w:r>
          </w:p>
        </w:tc>
        <w:tc>
          <w:tcPr>
            <w:tcW w:w="712"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天融信</w:t>
            </w:r>
          </w:p>
        </w:tc>
        <w:tc>
          <w:tcPr>
            <w:tcW w:w="417" w:type="pc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331"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c>
          <w:tcPr>
            <w:tcW w:w="498"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c>
          <w:tcPr>
            <w:tcW w:w="876"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堡垒机</w:t>
            </w:r>
          </w:p>
        </w:tc>
        <w:tc>
          <w:tcPr>
            <w:tcW w:w="1756" w:type="pct"/>
            <w:noWrap/>
            <w:vAlign w:val="center"/>
          </w:tcPr>
          <w:p>
            <w:pPr>
              <w:wordWrap w:val="0"/>
              <w:overflowPunct w:val="0"/>
              <w:topLinePunct/>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TSAG-71114</w:t>
            </w:r>
          </w:p>
        </w:tc>
        <w:tc>
          <w:tcPr>
            <w:tcW w:w="712"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天融信</w:t>
            </w:r>
          </w:p>
        </w:tc>
        <w:tc>
          <w:tcPr>
            <w:tcW w:w="417" w:type="pc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331"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c>
          <w:tcPr>
            <w:tcW w:w="498"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c>
          <w:tcPr>
            <w:tcW w:w="876"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入侵检测系统</w:t>
            </w:r>
          </w:p>
        </w:tc>
        <w:tc>
          <w:tcPr>
            <w:tcW w:w="1756" w:type="pct"/>
            <w:noWrap/>
            <w:vAlign w:val="center"/>
          </w:tcPr>
          <w:p>
            <w:pPr>
              <w:wordWrap w:val="0"/>
              <w:overflowPunct w:val="0"/>
              <w:topLinePunct/>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TS-52214-S</w:t>
            </w:r>
          </w:p>
        </w:tc>
        <w:tc>
          <w:tcPr>
            <w:tcW w:w="712"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天融信</w:t>
            </w:r>
          </w:p>
        </w:tc>
        <w:tc>
          <w:tcPr>
            <w:tcW w:w="417" w:type="pc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331"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c>
          <w:tcPr>
            <w:tcW w:w="498"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c>
          <w:tcPr>
            <w:tcW w:w="876"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虚拟防火墙</w:t>
            </w:r>
          </w:p>
        </w:tc>
        <w:tc>
          <w:tcPr>
            <w:tcW w:w="1756" w:type="pct"/>
            <w:noWrap/>
            <w:vAlign w:val="center"/>
          </w:tcPr>
          <w:p>
            <w:pPr>
              <w:wordWrap w:val="0"/>
              <w:overflowPunct w:val="0"/>
              <w:topLinePunct/>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VSP-VD100</w:t>
            </w:r>
          </w:p>
        </w:tc>
        <w:tc>
          <w:tcPr>
            <w:tcW w:w="712"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天融信</w:t>
            </w:r>
          </w:p>
        </w:tc>
        <w:tc>
          <w:tcPr>
            <w:tcW w:w="417" w:type="pc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331"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c>
          <w:tcPr>
            <w:tcW w:w="498"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c>
          <w:tcPr>
            <w:tcW w:w="876"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SSL VPN</w:t>
            </w:r>
          </w:p>
        </w:tc>
        <w:tc>
          <w:tcPr>
            <w:tcW w:w="1756" w:type="pct"/>
            <w:noWrap/>
            <w:vAlign w:val="center"/>
          </w:tcPr>
          <w:p>
            <w:pPr>
              <w:wordWrap w:val="0"/>
              <w:overflowPunct w:val="0"/>
              <w:topLinePunct/>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TV-41606-VONE</w:t>
            </w:r>
          </w:p>
        </w:tc>
        <w:tc>
          <w:tcPr>
            <w:tcW w:w="712"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天融信</w:t>
            </w:r>
          </w:p>
        </w:tc>
        <w:tc>
          <w:tcPr>
            <w:tcW w:w="417" w:type="pc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331"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c>
          <w:tcPr>
            <w:tcW w:w="498" w:type="pct"/>
            <w:vMerge w:val="continue"/>
            <w:vAlign w:val="center"/>
          </w:tcPr>
          <w:p>
            <w:pPr>
              <w:wordWrap w:val="0"/>
              <w:overflowPunct w:val="0"/>
              <w:topLinePunct/>
              <w:adjustRightInd w:val="0"/>
              <w:snapToGrid w:val="0"/>
              <w:spacing w:line="360" w:lineRule="auto"/>
              <w:ind w:firstLine="480" w:firstLineChars="200"/>
              <w:jc w:val="center"/>
              <w:rPr>
                <w:rFonts w:hint="eastAsia" w:ascii="宋体" w:hAnsi="宋体" w:eastAsia="宋体" w:cs="宋体"/>
                <w:color w:val="auto"/>
                <w:sz w:val="24"/>
                <w:szCs w:val="24"/>
                <w:highlight w:val="none"/>
              </w:rPr>
            </w:pPr>
          </w:p>
        </w:tc>
        <w:tc>
          <w:tcPr>
            <w:tcW w:w="876"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云应用安全交付网关</w:t>
            </w:r>
          </w:p>
        </w:tc>
        <w:tc>
          <w:tcPr>
            <w:tcW w:w="1756" w:type="pct"/>
            <w:noWrap/>
            <w:vAlign w:val="center"/>
          </w:tcPr>
          <w:p>
            <w:pPr>
              <w:wordWrap w:val="0"/>
              <w:overflowPunct w:val="0"/>
              <w:topLinePunct/>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VAD-3432</w:t>
            </w:r>
          </w:p>
        </w:tc>
        <w:tc>
          <w:tcPr>
            <w:tcW w:w="712"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天融信</w:t>
            </w:r>
          </w:p>
        </w:tc>
        <w:tc>
          <w:tcPr>
            <w:tcW w:w="417" w:type="pct"/>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331" w:type="pct"/>
            <w:noWrap/>
            <w:vAlign w:val="center"/>
          </w:tcPr>
          <w:p>
            <w:pPr>
              <w:wordWrap w:val="0"/>
              <w:overflowPunct w:val="0"/>
              <w:topLinePunct/>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bookmarkEnd w:id="0"/>
    </w:tbl>
    <w:p>
      <w:pPr>
        <w:wordWrap w:val="0"/>
        <w:overflowPunct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、服务内容</w:t>
      </w:r>
    </w:p>
    <w:p>
      <w:pPr>
        <w:wordWrap w:val="0"/>
        <w:overflowPunct w:val="0"/>
        <w:topLinePunct/>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1、日常维保</w:t>
      </w:r>
    </w:p>
    <w:p>
      <w:pPr>
        <w:wordWrap w:val="0"/>
        <w:overflowPunct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内的设备出现故障时，本项目的中标人（以下简称维保方）应根据需要安排技术人员赴采购人现场采取各种必要的技术手段进行维护。如果出现硬件故障的，不得对硬件配件本身进行直接维修，应采购配件更换的方式进行维修，配件采购、维修等所有费用由维保方承担。维保方应承诺免费提供原厂同型号（或能够有效兼容的更高配置）配件进行更换，且在更换过程中应严格根据设备厂家标准要求进行操作，确保招标设备安全。涉及到系统软件的，应提供系统安装的技术服务。</w:t>
      </w:r>
    </w:p>
    <w:p>
      <w:pPr>
        <w:wordWrap w:val="0"/>
        <w:overflowPunct w:val="0"/>
        <w:topLinePunct/>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2、日常巡检</w:t>
      </w:r>
    </w:p>
    <w:p>
      <w:pPr>
        <w:wordWrap w:val="0"/>
        <w:overflowPunct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每个季度对维保设备硬件进行季度巡检并应在季度末之前出具书面巡检报告，加盖维保方公章后，提交采购人。如果在巡检过程中发现问题的，应第一时间展开维修工作。</w:t>
      </w:r>
    </w:p>
    <w:p>
      <w:pPr>
        <w:wordWrap w:val="0"/>
        <w:overflowPunct w:val="0"/>
        <w:topLinePunct/>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3、现场保障</w:t>
      </w:r>
    </w:p>
    <w:p>
      <w:pPr>
        <w:wordWrap w:val="0"/>
        <w:overflowPunct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采购人进行信息化建设工作，或业务运行关键时段的过程中，根据采购人的需要，维保方均应承诺提供足够的技术力量，根据采购人要求赴现场或远程待命，提供包括且不限于现场技术支持，远程技术咨询，设备调试，实施环境搭建，线路检查、寻线，铺设线路，打标签、编制清单，提供技术培训及咨询服务、设备搬迁服务及重大会务活动现场技术支持保障服务，确保系统的正常运行。</w:t>
      </w:r>
    </w:p>
    <w:p>
      <w:pPr>
        <w:wordWrap w:val="0"/>
        <w:overflowPunct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4、存储备份数据验证（配合）</w:t>
      </w:r>
    </w:p>
    <w:p>
      <w:pPr>
        <w:wordWrap w:val="0"/>
        <w:overflowPunct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根据采购人需要，使用采购人现有设备，搭建合适的测试环境，配合采购人完成备份数据的有效性验证工作。</w:t>
      </w:r>
    </w:p>
    <w:p>
      <w:pPr>
        <w:wordWrap w:val="0"/>
        <w:overflowPunct w:val="0"/>
        <w:topLinePunct/>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★5、文件备份与恢复验证</w:t>
      </w:r>
    </w:p>
    <w:p>
      <w:pPr>
        <w:wordWrap w:val="0"/>
        <w:overflowPunct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采购人现有的文件备份设备，对采购人存储数据进行备份，要求备份频次为一周一次完整备份，每天一次增量备份（执行完整备份当天不执行增量备份）。应确保在任何时间点内均保证有4份不同时时间节点的完整备份，以及3个时间段的增量备份。</w:t>
      </w:r>
    </w:p>
    <w:p>
      <w:pPr>
        <w:wordWrap w:val="0"/>
        <w:overflowPunct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每三个月，选择最新时间节点的增量备份与配套时间段的增量备份执行一次数据恢复与验证工作。</w:t>
      </w:r>
    </w:p>
    <w:p>
      <w:pPr>
        <w:wordWrap w:val="0"/>
        <w:overflowPunct w:val="0"/>
        <w:topLinePunct/>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、服务要求</w:t>
      </w:r>
    </w:p>
    <w:p>
      <w:pPr>
        <w:wordWrap w:val="0"/>
        <w:overflowPunct w:val="0"/>
        <w:topLinePunct/>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（一）日常维护要求</w:t>
      </w:r>
    </w:p>
    <w:p>
      <w:pPr>
        <w:wordWrap w:val="0"/>
        <w:overflowPunct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1、响应时间</w:t>
      </w:r>
    </w:p>
    <w:p>
      <w:pPr>
        <w:wordWrap w:val="0"/>
        <w:overflowPunct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7*24小时响应服务。当收到维保通知后，维保方应在30分钟内安排技术力量赶赴现场进行排查。如果是一般故障的应在8小时内解决，重大问题的应在48小时内解决。故障处理完毕以后，视情况需要安排技术人员驻场观察1-2天。硬件故障，3天内更换故障零部件，不能按时更换的，须提供同档次类似性能的备机或替代解决方案。确保服务范围内设备安全、稳定、高效运行。对网络安全事件，维保方因联合设备厂商按照采购人应急预案，协助采购人完成安全事件处置，并提供后续事件溯源以及安全加固工作。</w:t>
      </w:r>
    </w:p>
    <w:p>
      <w:pPr>
        <w:wordWrap w:val="0"/>
        <w:overflowPunct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2、原厂服务</w:t>
      </w:r>
    </w:p>
    <w:p>
      <w:pPr>
        <w:wordWrap w:val="0"/>
        <w:overflowPunct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为确保数据的安全性及机房供电的稳定性，清单中维保设备必须提供原厂配件及技术服务支持，同时提供每年不少于一次的原厂设备保养维护服务。</w:t>
      </w:r>
    </w:p>
    <w:p>
      <w:pPr>
        <w:wordWrap w:val="0"/>
        <w:overflowPunct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3、如果遇到无法解决的问题，经与采购人协商确认后，委托第三方处理解决问题（相关所有费用均由维保方承担）。</w:t>
      </w:r>
    </w:p>
    <w:p>
      <w:pPr>
        <w:wordWrap w:val="0"/>
        <w:overflowPunct w:val="0"/>
        <w:topLinePunct/>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（二）定期巡检要求</w:t>
      </w:r>
    </w:p>
    <w:p>
      <w:pPr>
        <w:wordWrap w:val="0"/>
        <w:overflowPunct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1、每季度对维保设备进行巡检服务（深度健康检查服务），并于3个工作日之内提交相应的巡检报告和软件稳定性评估报告。</w:t>
      </w:r>
    </w:p>
    <w:p>
      <w:pPr>
        <w:wordWrap w:val="0"/>
        <w:overflowPunct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2、对硬件运行情况检测，检查项如下：指示灯、设备异响、设备温度，硬盘状态、各项硬件性能等。</w:t>
      </w:r>
    </w:p>
    <w:p>
      <w:pPr>
        <w:wordWrap w:val="0"/>
        <w:overflowPunct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3、对安全设备每月开展不少于两次的现场安全配置合规性巡检，检查相应网络安全设备配置及运行情况，确保设备安全防护配置合规、安全、有效，对隐患及时与采购人汇报处置。</w:t>
      </w:r>
    </w:p>
    <w:p>
      <w:pPr>
        <w:wordWrap w:val="0"/>
        <w:overflowPunct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4、每次巡检结束后维保方工程师应根据巡检信息对设备进行分析，并在巡检报告中详细列出。</w:t>
      </w:r>
    </w:p>
    <w:p>
      <w:pPr>
        <w:wordWrap w:val="0"/>
        <w:overflowPunct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5、在巡检过程中发现任何问题，均应立即通知采购人，并排除故障，如排除过程中可能对设备及业务运行产生影响的，应与采购人协商后，在保证设备安全运行的前提下，安排在合适的时间进行。</w:t>
      </w:r>
    </w:p>
    <w:p>
      <w:pPr>
        <w:wordWrap w:val="0"/>
        <w:overflowPunct w:val="0"/>
        <w:topLinePunct/>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（三）现场保障要求</w:t>
      </w:r>
    </w:p>
    <w:p>
      <w:pPr>
        <w:wordWrap w:val="0"/>
        <w:overflowPunct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采购人对机房、设备间进行施工或调整需要提供保障和配合时，应立即提供相关技术资料，并在采购人需要时安排工程师赴现场全程保障，并提供满足中心需要的足够的技术力量完成中心指定工作任务。在春节、国庆等节假日以及其他重要时期，应安排专门技术人员提供现场技术保障，确保设备和网络安全。</w:t>
      </w:r>
    </w:p>
    <w:p>
      <w:pPr>
        <w:wordWrap w:val="0"/>
        <w:overflowPunct w:val="0"/>
        <w:topLinePunct/>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（四）工作纪律及保密要求</w:t>
      </w:r>
    </w:p>
    <w:p>
      <w:pPr>
        <w:wordWrap w:val="0"/>
        <w:overflowPunct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在现场工作时，应遵守采购人的规章制度，对工作中接触到的任何信息及数据负有保密的责任。</w:t>
      </w:r>
    </w:p>
    <w:p>
      <w:pPr>
        <w:wordWrap w:val="0"/>
        <w:overflowPunct w:val="0"/>
        <w:topLinePunct/>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★维保方及维保方所有相关技术人员，对在维保服务期间接触到的采购人的设备情况和其它内部信息，有保密的责任和义务。</w:t>
      </w:r>
    </w:p>
    <w:p>
      <w:pPr>
        <w:wordWrap w:val="0"/>
        <w:overflowPunct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如因维保方原因造成采购人信息泄露，所产生的一切经济、法律、社会责任均由维保方承担。维保方应承担全部赔偿责任，赔偿金额视采购人实际损失而定，不限于本合同金额。</w:t>
      </w:r>
    </w:p>
    <w:p>
      <w:pPr>
        <w:wordWrap w:val="0"/>
        <w:overflowPunct w:val="0"/>
        <w:topLinePunct/>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（五）其它</w:t>
      </w:r>
    </w:p>
    <w:p>
      <w:pPr>
        <w:wordWrap w:val="0"/>
        <w:overflowPunct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维保服务期间维保方在服务质量、服务内容给、服务态度、服务效率等方面存在问题的，采购人有权扣除部分合同款，在维保方无法按合同约定及时提供合格维保服务的前提下，采购人有权寻求第三方协助，所需一切费用由维保方承担。</w:t>
      </w:r>
    </w:p>
    <w:p>
      <w:pPr>
        <w:wordWrap w:val="0"/>
        <w:overflowPunct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维保服务期间维保方无法在合同约定时间内提供合格的维保服务的，导致采购人业务运行受到影响的，所产生的一切经济、社会与法律责任均由维保方承担，赔偿金额视采购人实际损失（包括直接损失以及产生的一切间接损失）而定，不限于本合同金额。</w:t>
      </w:r>
    </w:p>
    <w:p>
      <w:pPr>
        <w:wordWrap w:val="0"/>
        <w:overflowPunct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3、维保方在投标前应对需维保的设备和信息系统整体架构与环境进行充分的了解。中标后不得以任何类似不了解情况、不清楚架构等因素拒绝提供服务。</w:t>
      </w:r>
    </w:p>
    <w:p>
      <w:pPr>
        <w:ind w:firstLine="42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4、以上加★的条款（存储备份数据验证（配合）、文件备份与恢复验证、保密要求），投标人需在投标文件中承诺满足上述要求，否则其响应文件作为无效标处理。</w:t>
      </w:r>
    </w:p>
    <w:p>
      <w:pPr>
        <w:rPr>
          <w:rFonts w:hint="eastAsia" w:ascii="宋体" w:hAnsi="宋体" w:eastAsia="宋体" w:cs="宋体"/>
          <w:sz w:val="24"/>
          <w:szCs w:val="24"/>
        </w:rPr>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MWEyZDM0NTYzODdiYTEwNzU3YTRhMzRiMGQ1MmYifQ=="/>
  </w:docVars>
  <w:rsids>
    <w:rsidRoot w:val="0F6E4476"/>
    <w:rsid w:val="0F6E4476"/>
    <w:rsid w:val="1F916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9"/>
    <w:pPr>
      <w:keepNext/>
      <w:jc w:val="center"/>
      <w:outlineLvl w:val="2"/>
    </w:pPr>
    <w:rPr>
      <w:rFonts w:ascii="Times New Roman" w:hAnsi="Times New Roman" w:eastAsia="楷体_GB2312" w:cs="Times New Roman"/>
      <w:b/>
      <w:bCs/>
      <w:kern w:val="0"/>
      <w:sz w:val="15"/>
      <w:szCs w:val="2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2382</Words>
  <Characters>2549</Characters>
  <Lines>0</Lines>
  <Paragraphs>0</Paragraphs>
  <TotalTime>0</TotalTime>
  <ScaleCrop>false</ScaleCrop>
  <LinksUpToDate>false</LinksUpToDate>
  <CharactersWithSpaces>2556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2023-10-19T08:15:00Z</dcterms:created>
  <dc:creator>巧儿</dc:creator>
  <cp:lastModifiedBy>巧儿</cp:lastModifiedBy>
  <dcterms:modified xsi:type="dcterms:W3CDTF">2023-10-19T08:26:23Z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E81B63BFD0E74698AE991E728218BE6A_11</vt:lpwstr>
  </property>
</Properties>
</file>