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cs="黑体"/>
          <w:b/>
          <w:spacing w:val="170"/>
          <w:kern w:val="0"/>
          <w:sz w:val="84"/>
          <w:szCs w:val="84"/>
        </w:rPr>
      </w:pPr>
    </w:p>
    <w:p>
      <w:pPr>
        <w:snapToGrid w:val="0"/>
        <w:spacing w:line="360" w:lineRule="auto"/>
        <w:jc w:val="center"/>
        <w:rPr>
          <w:rFonts w:ascii="黑体" w:hAnsi="黑体" w:eastAsia="黑体"/>
          <w:b/>
          <w:spacing w:val="170"/>
          <w:sz w:val="84"/>
          <w:szCs w:val="84"/>
        </w:rPr>
      </w:pPr>
      <w:r>
        <w:rPr>
          <w:rFonts w:hint="eastAsia" w:ascii="黑体" w:hAnsi="黑体" w:eastAsia="黑体" w:cs="黑体"/>
          <w:b/>
          <w:spacing w:val="170"/>
          <w:kern w:val="0"/>
          <w:sz w:val="84"/>
          <w:szCs w:val="84"/>
        </w:rPr>
        <w:t>采购</w:t>
      </w:r>
      <w:r>
        <w:rPr>
          <w:rFonts w:hint="eastAsia" w:ascii="黑体" w:hAnsi="黑体" w:eastAsia="黑体"/>
          <w:b/>
          <w:spacing w:val="170"/>
          <w:sz w:val="84"/>
          <w:szCs w:val="84"/>
        </w:rPr>
        <w:t>文件</w:t>
      </w:r>
    </w:p>
    <w:p>
      <w:pPr>
        <w:jc w:val="center"/>
        <w:rPr>
          <w:rFonts w:ascii="华文中宋" w:hAnsi="华文中宋" w:eastAsia="华文中宋"/>
          <w:bCs/>
          <w:color w:val="000000" w:themeColor="text1"/>
          <w:sz w:val="30"/>
          <w14:textFill>
            <w14:solidFill>
              <w14:schemeClr w14:val="tx1"/>
            </w14:solidFill>
          </w14:textFill>
        </w:rPr>
      </w:pPr>
      <w:r>
        <w:rPr>
          <w:rFonts w:hint="eastAsia" w:ascii="华文中宋" w:hAnsi="华文中宋" w:eastAsia="华文中宋"/>
          <w:bCs/>
          <w:color w:val="000000" w:themeColor="text1"/>
          <w:sz w:val="30"/>
          <w14:textFill>
            <w14:solidFill>
              <w14:schemeClr w14:val="tx1"/>
            </w14:solidFill>
          </w14:textFill>
        </w:rPr>
        <w:t>（服务类）</w:t>
      </w:r>
    </w:p>
    <w:p>
      <w:pPr>
        <w:rPr>
          <w:rFonts w:ascii="华文中宋" w:hAnsi="华文中宋" w:eastAsia="华文中宋"/>
          <w:bCs/>
          <w:color w:val="000000" w:themeColor="text1"/>
          <w:sz w:val="30"/>
          <w14:textFill>
            <w14:solidFill>
              <w14:schemeClr w14:val="tx1"/>
            </w14:solidFill>
          </w14:textFill>
        </w:rPr>
      </w:pPr>
    </w:p>
    <w:p>
      <w:pPr>
        <w:jc w:val="left"/>
        <w:rPr>
          <w:rFonts w:ascii="黑体" w:hAnsi="华文中宋" w:eastAsia="黑体"/>
          <w:bCs/>
          <w:color w:val="000000" w:themeColor="text1"/>
          <w:spacing w:val="20"/>
          <w:w w:val="90"/>
          <w:sz w:val="48"/>
          <w:szCs w:val="48"/>
          <w14:textFill>
            <w14:solidFill>
              <w14:schemeClr w14:val="tx1"/>
            </w14:solidFill>
          </w14:textFill>
        </w:rPr>
      </w:pPr>
    </w:p>
    <w:p>
      <w:pPr>
        <w:jc w:val="left"/>
        <w:rPr>
          <w:rFonts w:ascii="黑体" w:hAnsi="华文中宋" w:eastAsia="黑体"/>
          <w:bCs/>
          <w:color w:val="000000" w:themeColor="text1"/>
          <w:spacing w:val="20"/>
          <w:w w:val="90"/>
          <w:sz w:val="48"/>
          <w:szCs w:val="48"/>
          <w14:textFill>
            <w14:solidFill>
              <w14:schemeClr w14:val="tx1"/>
            </w14:solidFill>
          </w14:textFill>
        </w:rPr>
      </w:pPr>
    </w:p>
    <w:p>
      <w:pPr>
        <w:jc w:val="left"/>
        <w:rPr>
          <w:rFonts w:ascii="华文中宋" w:hAnsi="华文中宋" w:eastAsia="华文中宋"/>
          <w:bCs/>
          <w:sz w:val="30"/>
        </w:rPr>
      </w:pPr>
    </w:p>
    <w:p>
      <w:pPr>
        <w:jc w:val="left"/>
        <w:rPr>
          <w:rFonts w:ascii="华文中宋" w:hAnsi="华文中宋" w:eastAsia="华文中宋"/>
          <w:bCs/>
          <w:sz w:val="30"/>
        </w:rPr>
      </w:pPr>
    </w:p>
    <w:p>
      <w:pPr>
        <w:spacing w:line="360" w:lineRule="auto"/>
        <w:ind w:firstLine="560" w:firstLineChars="200"/>
        <w:rPr>
          <w:rFonts w:hint="eastAsia" w:ascii="黑体" w:hAnsi="华文中宋" w:eastAsia="黑体"/>
          <w:bCs/>
          <w:sz w:val="28"/>
          <w:szCs w:val="30"/>
          <w:highlight w:val="none"/>
          <w:shd w:val="clear" w:color="auto" w:fill="auto"/>
          <w:lang w:val="en-US" w:eastAsia="zh-CN"/>
        </w:rPr>
      </w:pPr>
      <w:r>
        <w:rPr>
          <w:rFonts w:hint="eastAsia" w:ascii="黑体" w:hAnsi="华文中宋" w:eastAsia="黑体"/>
          <w:bCs/>
          <w:sz w:val="28"/>
          <w:szCs w:val="30"/>
        </w:rPr>
        <w:t>采购项</w:t>
      </w:r>
      <w:r>
        <w:rPr>
          <w:rFonts w:hint="eastAsia" w:ascii="黑体" w:hAnsi="华文中宋" w:eastAsia="黑体"/>
          <w:bCs/>
          <w:sz w:val="28"/>
          <w:szCs w:val="30"/>
          <w:highlight w:val="none"/>
          <w:shd w:val="clear" w:color="auto" w:fill="auto"/>
        </w:rPr>
        <w:t>目编号：JSRHJC202300</w:t>
      </w:r>
      <w:r>
        <w:rPr>
          <w:rFonts w:hint="eastAsia" w:ascii="黑体" w:hAnsi="华文中宋" w:eastAsia="黑体"/>
          <w:bCs/>
          <w:sz w:val="28"/>
          <w:szCs w:val="30"/>
          <w:highlight w:val="none"/>
          <w:shd w:val="clear" w:color="auto" w:fill="auto"/>
          <w:lang w:val="en-US" w:eastAsia="zh-CN"/>
        </w:rPr>
        <w:t>4</w:t>
      </w:r>
    </w:p>
    <w:p>
      <w:pPr>
        <w:spacing w:line="360" w:lineRule="auto"/>
        <w:ind w:firstLine="560" w:firstLineChars="200"/>
        <w:jc w:val="left"/>
        <w:rPr>
          <w:rFonts w:ascii="黑体" w:hAnsi="华文中宋" w:eastAsia="黑体"/>
          <w:bCs/>
          <w:sz w:val="28"/>
          <w:szCs w:val="30"/>
          <w:highlight w:val="none"/>
          <w:shd w:val="clear" w:color="auto" w:fill="auto"/>
        </w:rPr>
      </w:pPr>
      <w:r>
        <w:rPr>
          <w:rFonts w:hint="eastAsia" w:ascii="黑体" w:hAnsi="华文中宋" w:eastAsia="黑体"/>
          <w:bCs/>
          <w:sz w:val="28"/>
          <w:szCs w:val="30"/>
          <w:highlight w:val="none"/>
          <w:shd w:val="clear" w:color="auto" w:fill="auto"/>
        </w:rPr>
        <w:t>采购项目名称：</w:t>
      </w:r>
      <w:bookmarkStart w:id="68" w:name="_GoBack"/>
      <w:r>
        <w:rPr>
          <w:rFonts w:hint="eastAsia" w:ascii="黑体" w:hAnsi="华文中宋" w:eastAsia="黑体"/>
          <w:bCs/>
          <w:sz w:val="28"/>
          <w:szCs w:val="30"/>
          <w:highlight w:val="none"/>
          <w:shd w:val="clear" w:color="auto" w:fill="auto"/>
        </w:rPr>
        <w:t>腾龙大道智慧快速路二期工程、中吴大道西延智慧快速路工程、机场路快速化改造收尾工程造价咨询服务项目</w:t>
      </w:r>
      <w:bookmarkEnd w:id="68"/>
    </w:p>
    <w:p>
      <w:pPr>
        <w:spacing w:line="360" w:lineRule="auto"/>
        <w:ind w:firstLine="560" w:firstLineChars="200"/>
        <w:jc w:val="left"/>
        <w:rPr>
          <w:rFonts w:ascii="黑体" w:hAnsi="华文中宋" w:eastAsia="黑体"/>
          <w:bCs/>
          <w:sz w:val="28"/>
          <w:szCs w:val="30"/>
          <w:highlight w:val="none"/>
          <w:shd w:val="clear" w:color="auto" w:fill="auto"/>
        </w:rPr>
      </w:pPr>
      <w:r>
        <w:rPr>
          <w:rFonts w:hint="eastAsia" w:ascii="黑体" w:hAnsi="华文中宋" w:eastAsia="黑体"/>
          <w:bCs/>
          <w:sz w:val="28"/>
          <w:szCs w:val="30"/>
          <w:highlight w:val="none"/>
          <w:shd w:val="clear" w:color="auto" w:fill="auto"/>
        </w:rPr>
        <w:t>采   购   人：常州市公路事业发展中心</w:t>
      </w:r>
    </w:p>
    <w:p>
      <w:pPr>
        <w:spacing w:line="360" w:lineRule="auto"/>
        <w:ind w:firstLine="560" w:firstLineChars="200"/>
        <w:jc w:val="left"/>
        <w:rPr>
          <w:rFonts w:ascii="黑体" w:hAnsi="华文中宋" w:eastAsia="黑体"/>
          <w:bCs/>
          <w:sz w:val="28"/>
          <w:szCs w:val="30"/>
        </w:rPr>
      </w:pPr>
      <w:r>
        <w:rPr>
          <w:rFonts w:hint="eastAsia" w:ascii="黑体" w:hAnsi="华文中宋" w:eastAsia="黑体"/>
          <w:bCs/>
          <w:sz w:val="28"/>
          <w:szCs w:val="30"/>
        </w:rPr>
        <w:t>采购代理机构：江苏仁禾中衡工程咨询房地产估价有限公司</w:t>
      </w:r>
    </w:p>
    <w:p>
      <w:pPr>
        <w:rPr>
          <w:rFonts w:ascii="华文中宋" w:hAnsi="华文中宋" w:eastAsia="华文中宋"/>
          <w:bCs/>
          <w:color w:val="000000" w:themeColor="text1"/>
          <w:sz w:val="32"/>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二○二三年一月</w:t>
      </w:r>
      <w:bookmarkStart w:id="0" w:name="报价方须知前附表"/>
      <w:bookmarkEnd w:id="0"/>
      <w:bookmarkStart w:id="1" w:name="_Toc55147045"/>
    </w:p>
    <w:p>
      <w:pPr>
        <w:rPr>
          <w:rFonts w:ascii="黑体" w:hAnsi="华文中宋" w:eastAsia="黑体"/>
          <w:bCs/>
          <w:color w:val="000000" w:themeColor="text1"/>
          <w:sz w:val="30"/>
          <w:szCs w:val="30"/>
          <w14:textFill>
            <w14:solidFill>
              <w14:schemeClr w14:val="tx1"/>
            </w14:solidFill>
          </w14:textFill>
        </w:rPr>
      </w:pPr>
    </w:p>
    <w:p>
      <w:pPr>
        <w:pStyle w:val="121"/>
      </w:pPr>
      <w:bookmarkStart w:id="2" w:name="_Toc92976614"/>
      <w:bookmarkStart w:id="3" w:name="_Toc92976583"/>
      <w:r>
        <w:rPr>
          <w:rFonts w:hint="eastAsia"/>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z w:val="24"/>
                <w:highlight w:val="none"/>
              </w:rPr>
            </w:pPr>
            <w:r>
              <w:rPr>
                <w:rFonts w:hint="eastAsia" w:ascii="宋体" w:hAnsi="宋体" w:cs="宋体"/>
                <w:spacing w:val="2"/>
                <w:sz w:val="24"/>
                <w:highlight w:val="none"/>
                <w:lang w:val="zh-CN"/>
              </w:rPr>
              <w:t>采购项目名称：腾龙大道智慧快速路二期工程、中吴大道西延智慧快速路工程、机场路快速化改造收尾工程造价咨询服务项目</w:t>
            </w:r>
          </w:p>
          <w:p>
            <w:pPr>
              <w:snapToGrid w:val="0"/>
              <w:spacing w:line="26" w:lineRule="atLeast"/>
              <w:rPr>
                <w:rFonts w:hint="eastAsia" w:ascii="宋体" w:hAnsi="宋体" w:cs="宋体" w:eastAsiaTheme="minorEastAsia"/>
                <w:b/>
                <w:bCs/>
                <w:spacing w:val="2"/>
                <w:sz w:val="24"/>
                <w:highlight w:val="none"/>
                <w:lang w:val="en-US" w:eastAsia="zh-CN"/>
              </w:rPr>
            </w:pPr>
            <w:r>
              <w:rPr>
                <w:rFonts w:hint="eastAsia" w:ascii="宋体" w:hAnsi="宋体" w:cs="宋体"/>
                <w:spacing w:val="2"/>
                <w:sz w:val="24"/>
                <w:highlight w:val="none"/>
                <w:lang w:val="zh-CN"/>
              </w:rPr>
              <w:t>采购项目编号：</w:t>
            </w:r>
            <w:r>
              <w:rPr>
                <w:rFonts w:ascii="宋体" w:hAnsi="宋体" w:cs="宋体"/>
                <w:spacing w:val="2"/>
                <w:sz w:val="24"/>
                <w:highlight w:val="none"/>
                <w:lang w:val="zh-CN"/>
              </w:rPr>
              <w:t>JSRHJC202300</w:t>
            </w:r>
            <w:r>
              <w:rPr>
                <w:rFonts w:hint="eastAsia" w:ascii="宋体" w:hAnsi="宋体" w:cs="宋体"/>
                <w:spacing w:val="2"/>
                <w:sz w:val="24"/>
                <w:highlight w:val="none"/>
                <w:lang w:val="en-US" w:eastAsia="zh-CN"/>
              </w:rPr>
              <w:t>4</w:t>
            </w:r>
          </w:p>
          <w:p>
            <w:pPr>
              <w:snapToGrid w:val="0"/>
              <w:spacing w:line="26" w:lineRule="atLeast"/>
              <w:rPr>
                <w:rFonts w:ascii="宋体" w:hAnsi="宋体" w:cs="宋体"/>
                <w:spacing w:val="2"/>
                <w:sz w:val="24"/>
                <w:highlight w:val="none"/>
              </w:rPr>
            </w:pPr>
            <w:r>
              <w:rPr>
                <w:rFonts w:hint="eastAsia" w:ascii="宋体" w:hAnsi="宋体" w:cs="宋体"/>
                <w:spacing w:val="2"/>
                <w:sz w:val="24"/>
                <w:highlight w:val="none"/>
                <w:lang w:val="zh-CN"/>
              </w:rPr>
              <w:t>合同履行期限</w:t>
            </w:r>
            <w:r>
              <w:rPr>
                <w:rFonts w:hint="eastAsia" w:ascii="宋体" w:hAnsi="宋体" w:cs="宋体"/>
                <w:spacing w:val="2"/>
                <w:sz w:val="24"/>
                <w:highlight w:val="none"/>
              </w:rPr>
              <w:t>：满足项目招标进度需求。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投标保证金：</w:t>
            </w:r>
            <w:r>
              <w:rPr>
                <w:rFonts w:ascii="宋体" w:hAnsi="宋体" w:cs="宋体"/>
                <w:spacing w:val="2"/>
                <w:sz w:val="24"/>
                <w:lang w:val="zh-CN"/>
              </w:rPr>
              <w:t xml:space="preserve"> </w:t>
            </w:r>
            <w:r>
              <w:rPr>
                <w:rFonts w:hint="eastAsia" w:ascii="宋体" w:hAnsi="宋体" w:cs="宋体"/>
                <w:spacing w:val="2"/>
                <w:sz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cs="宋体" w:asciiTheme="minorEastAsia" w:hAnsiTheme="minorEastAsia"/>
                <w:sz w:val="24"/>
                <w:szCs w:val="24"/>
              </w:rPr>
              <w:t>现场踏勘：</w:t>
            </w:r>
            <w:r>
              <w:rPr>
                <w:rFonts w:hint="eastAsia" w:asciiTheme="minorEastAsia" w:hAnsiTheme="minorEastAsia"/>
                <w:sz w:val="24"/>
                <w:szCs w:val="24"/>
              </w:rPr>
              <w:t>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Cs/>
                <w:spacing w:val="2"/>
                <w:sz w:val="24"/>
                <w:lang w:val="zh-CN"/>
              </w:rPr>
            </w:pPr>
            <w:r>
              <w:rPr>
                <w:rFonts w:hint="eastAsia" w:ascii="宋体" w:hAnsi="宋体" w:cs="宋体"/>
                <w:spacing w:val="2"/>
                <w:sz w:val="24"/>
                <w:lang w:val="zh-CN"/>
              </w:rPr>
              <w:t>响应文件份数：</w:t>
            </w:r>
            <w:r>
              <w:rPr>
                <w:rFonts w:hint="eastAsia" w:ascii="宋体" w:hAnsi="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color w:val="auto"/>
                <w:spacing w:val="2"/>
                <w:sz w:val="24"/>
                <w:highlight w:val="none"/>
                <w:lang w:val="zh-CN"/>
              </w:rPr>
            </w:pPr>
            <w:r>
              <w:rPr>
                <w:rFonts w:hint="eastAsia" w:ascii="宋体" w:hAnsi="宋体" w:cs="宋体"/>
                <w:color w:val="auto"/>
                <w:spacing w:val="2"/>
                <w:sz w:val="24"/>
                <w:highlight w:val="none"/>
                <w:lang w:val="zh-CN"/>
              </w:rPr>
              <w:t>响应文件接收时间：</w:t>
            </w:r>
            <w:r>
              <w:rPr>
                <w:rFonts w:ascii="宋体" w:hAnsi="宋体" w:eastAsia="宋体"/>
                <w:bCs/>
                <w:color w:val="auto"/>
                <w:sz w:val="24"/>
                <w:szCs w:val="24"/>
                <w:highlight w:val="none"/>
                <w:u w:val="single"/>
              </w:rPr>
              <w:t>20</w:t>
            </w:r>
            <w:r>
              <w:rPr>
                <w:rFonts w:hint="eastAsia" w:ascii="宋体" w:hAnsi="宋体" w:eastAsia="宋体"/>
                <w:bCs/>
                <w:color w:val="auto"/>
                <w:sz w:val="24"/>
                <w:szCs w:val="24"/>
                <w:highlight w:val="none"/>
                <w:u w:val="single"/>
              </w:rPr>
              <w:t>23</w:t>
            </w:r>
            <w:r>
              <w:rPr>
                <w:rFonts w:ascii="宋体" w:hAnsi="宋体" w:eastAsia="宋体"/>
                <w:bCs/>
                <w:color w:val="auto"/>
                <w:sz w:val="24"/>
                <w:szCs w:val="24"/>
                <w:highlight w:val="none"/>
                <w:u w:val="single"/>
              </w:rPr>
              <w:t>年</w:t>
            </w:r>
            <w:r>
              <w:rPr>
                <w:rFonts w:hint="eastAsia" w:ascii="宋体" w:hAnsi="宋体" w:eastAsia="宋体"/>
                <w:bCs/>
                <w:color w:val="auto"/>
                <w:sz w:val="24"/>
                <w:szCs w:val="24"/>
                <w:highlight w:val="none"/>
                <w:u w:val="single"/>
              </w:rPr>
              <w:t>2</w:t>
            </w:r>
            <w:r>
              <w:rPr>
                <w:rFonts w:ascii="宋体" w:hAnsi="宋体" w:eastAsia="宋体"/>
                <w:bCs/>
                <w:color w:val="auto"/>
                <w:sz w:val="24"/>
                <w:szCs w:val="24"/>
                <w:highlight w:val="none"/>
                <w:u w:val="single"/>
              </w:rPr>
              <w:t>月</w:t>
            </w:r>
            <w:r>
              <w:rPr>
                <w:rFonts w:hint="eastAsia" w:ascii="宋体" w:hAnsi="宋体" w:eastAsia="宋体"/>
                <w:bCs/>
                <w:color w:val="auto"/>
                <w:sz w:val="24"/>
                <w:szCs w:val="24"/>
                <w:highlight w:val="none"/>
                <w:u w:val="single"/>
                <w:lang w:val="en-US" w:eastAsia="zh-CN"/>
              </w:rPr>
              <w:t>7</w:t>
            </w:r>
            <w:r>
              <w:rPr>
                <w:rFonts w:ascii="宋体" w:hAnsi="宋体" w:eastAsia="宋体"/>
                <w:bCs/>
                <w:color w:val="auto"/>
                <w:sz w:val="24"/>
                <w:szCs w:val="24"/>
                <w:highlight w:val="none"/>
                <w:u w:val="single"/>
              </w:rPr>
              <w:t>日</w:t>
            </w:r>
            <w:r>
              <w:rPr>
                <w:rFonts w:hint="eastAsia" w:ascii="宋体" w:hAnsi="宋体" w:eastAsia="宋体"/>
                <w:bCs/>
                <w:color w:val="auto"/>
                <w:sz w:val="24"/>
                <w:szCs w:val="24"/>
                <w:highlight w:val="none"/>
                <w:u w:val="single"/>
              </w:rPr>
              <w:t>14</w:t>
            </w:r>
            <w:r>
              <w:rPr>
                <w:rFonts w:ascii="宋体" w:hAnsi="宋体" w:eastAsia="宋体"/>
                <w:bCs/>
                <w:color w:val="auto"/>
                <w:sz w:val="24"/>
                <w:szCs w:val="24"/>
                <w:highlight w:val="none"/>
                <w:u w:val="single"/>
              </w:rPr>
              <w:t>点</w:t>
            </w:r>
            <w:r>
              <w:rPr>
                <w:rFonts w:hint="eastAsia" w:ascii="宋体" w:hAnsi="宋体" w:eastAsia="宋体"/>
                <w:bCs/>
                <w:color w:val="auto"/>
                <w:sz w:val="24"/>
                <w:szCs w:val="24"/>
                <w:highlight w:val="none"/>
                <w:u w:val="single"/>
              </w:rPr>
              <w:t>00</w:t>
            </w:r>
            <w:r>
              <w:rPr>
                <w:rFonts w:ascii="宋体" w:hAnsi="宋体" w:eastAsia="宋体"/>
                <w:bCs/>
                <w:color w:val="auto"/>
                <w:sz w:val="24"/>
                <w:szCs w:val="24"/>
                <w:highlight w:val="none"/>
                <w:u w:val="single"/>
              </w:rPr>
              <w:t>分</w:t>
            </w:r>
          </w:p>
          <w:p>
            <w:pPr>
              <w:snapToGrid w:val="0"/>
              <w:spacing w:line="26" w:lineRule="atLeast"/>
              <w:ind w:firstLine="122" w:firstLineChars="50"/>
              <w:rPr>
                <w:rFonts w:ascii="宋体" w:hAnsi="宋体" w:cs="宋体"/>
                <w:color w:val="auto"/>
                <w:spacing w:val="2"/>
                <w:sz w:val="24"/>
                <w:highlight w:val="none"/>
                <w:lang w:val="zh-CN"/>
              </w:rPr>
            </w:pPr>
            <w:r>
              <w:rPr>
                <w:rFonts w:hint="eastAsia" w:ascii="宋体" w:hAnsi="宋体" w:cs="宋体"/>
                <w:color w:val="auto"/>
                <w:spacing w:val="2"/>
                <w:sz w:val="24"/>
                <w:highlight w:val="none"/>
                <w:lang w:val="zh-CN"/>
              </w:rPr>
              <w:t>响应文件提交截止时间：</w:t>
            </w:r>
            <w:r>
              <w:rPr>
                <w:rFonts w:ascii="宋体" w:hAnsi="宋体" w:eastAsia="宋体"/>
                <w:bCs/>
                <w:color w:val="auto"/>
                <w:sz w:val="24"/>
                <w:szCs w:val="24"/>
                <w:highlight w:val="none"/>
                <w:u w:val="single"/>
              </w:rPr>
              <w:t>20</w:t>
            </w:r>
            <w:r>
              <w:rPr>
                <w:rFonts w:hint="eastAsia" w:ascii="宋体" w:hAnsi="宋体" w:eastAsia="宋体"/>
                <w:bCs/>
                <w:color w:val="auto"/>
                <w:sz w:val="24"/>
                <w:szCs w:val="24"/>
                <w:highlight w:val="none"/>
                <w:u w:val="single"/>
              </w:rPr>
              <w:t>23</w:t>
            </w:r>
            <w:r>
              <w:rPr>
                <w:rFonts w:ascii="宋体" w:hAnsi="宋体" w:eastAsia="宋体"/>
                <w:bCs/>
                <w:color w:val="auto"/>
                <w:sz w:val="24"/>
                <w:szCs w:val="24"/>
                <w:highlight w:val="none"/>
                <w:u w:val="single"/>
              </w:rPr>
              <w:t>年</w:t>
            </w:r>
            <w:r>
              <w:rPr>
                <w:rFonts w:hint="eastAsia" w:ascii="宋体" w:hAnsi="宋体" w:eastAsia="宋体"/>
                <w:bCs/>
                <w:color w:val="auto"/>
                <w:sz w:val="24"/>
                <w:szCs w:val="24"/>
                <w:highlight w:val="none"/>
                <w:u w:val="single"/>
              </w:rPr>
              <w:t>2</w:t>
            </w:r>
            <w:r>
              <w:rPr>
                <w:rFonts w:ascii="宋体" w:hAnsi="宋体" w:eastAsia="宋体"/>
                <w:bCs/>
                <w:color w:val="auto"/>
                <w:sz w:val="24"/>
                <w:szCs w:val="24"/>
                <w:highlight w:val="none"/>
                <w:u w:val="single"/>
              </w:rPr>
              <w:t>月</w:t>
            </w:r>
            <w:r>
              <w:rPr>
                <w:rFonts w:hint="eastAsia" w:ascii="宋体" w:hAnsi="宋体" w:eastAsia="宋体"/>
                <w:bCs/>
                <w:color w:val="auto"/>
                <w:sz w:val="24"/>
                <w:szCs w:val="24"/>
                <w:highlight w:val="none"/>
                <w:u w:val="single"/>
                <w:lang w:val="en-US" w:eastAsia="zh-CN"/>
              </w:rPr>
              <w:t>7</w:t>
            </w:r>
            <w:r>
              <w:rPr>
                <w:rFonts w:ascii="宋体" w:hAnsi="宋体" w:eastAsia="宋体"/>
                <w:bCs/>
                <w:color w:val="auto"/>
                <w:sz w:val="24"/>
                <w:szCs w:val="24"/>
                <w:highlight w:val="none"/>
                <w:u w:val="single"/>
              </w:rPr>
              <w:t>日</w:t>
            </w:r>
            <w:r>
              <w:rPr>
                <w:rFonts w:hint="eastAsia" w:ascii="宋体" w:hAnsi="宋体" w:eastAsia="宋体"/>
                <w:bCs/>
                <w:color w:val="auto"/>
                <w:sz w:val="24"/>
                <w:szCs w:val="24"/>
                <w:highlight w:val="none"/>
                <w:u w:val="single"/>
              </w:rPr>
              <w:t>14</w:t>
            </w:r>
            <w:r>
              <w:rPr>
                <w:rFonts w:ascii="宋体" w:hAnsi="宋体" w:eastAsia="宋体"/>
                <w:bCs/>
                <w:color w:val="auto"/>
                <w:sz w:val="24"/>
                <w:szCs w:val="24"/>
                <w:highlight w:val="none"/>
                <w:u w:val="single"/>
              </w:rPr>
              <w:t>点</w:t>
            </w:r>
            <w:r>
              <w:rPr>
                <w:rFonts w:hint="eastAsia" w:ascii="宋体" w:hAnsi="宋体" w:eastAsia="宋体"/>
                <w:bCs/>
                <w:color w:val="auto"/>
                <w:sz w:val="24"/>
                <w:szCs w:val="24"/>
                <w:highlight w:val="none"/>
                <w:u w:val="single"/>
              </w:rPr>
              <w:t>30</w:t>
            </w:r>
            <w:r>
              <w:rPr>
                <w:rFonts w:ascii="宋体" w:hAnsi="宋体" w:eastAsia="宋体"/>
                <w:bCs/>
                <w:color w:val="auto"/>
                <w:sz w:val="24"/>
                <w:szCs w:val="24"/>
                <w:highlight w:val="none"/>
                <w:u w:val="single"/>
              </w:rPr>
              <w:t>分</w:t>
            </w:r>
          </w:p>
          <w:p>
            <w:pPr>
              <w:snapToGrid w:val="0"/>
              <w:spacing w:line="26" w:lineRule="atLeast"/>
              <w:ind w:firstLine="122" w:firstLineChars="50"/>
              <w:rPr>
                <w:rFonts w:ascii="宋体" w:hAnsi="宋体" w:cs="宋体"/>
                <w:color w:val="auto"/>
                <w:sz w:val="24"/>
                <w:highlight w:val="none"/>
                <w:lang w:val="zh-CN"/>
              </w:rPr>
            </w:pPr>
            <w:r>
              <w:rPr>
                <w:rFonts w:hint="eastAsia" w:ascii="宋体" w:hAnsi="宋体" w:cs="宋体"/>
                <w:color w:val="auto"/>
                <w:spacing w:val="2"/>
                <w:sz w:val="24"/>
                <w:highlight w:val="none"/>
                <w:lang w:val="zh-CN"/>
              </w:rPr>
              <w:t>响应文件提交地点：</w:t>
            </w:r>
            <w:r>
              <w:rPr>
                <w:rFonts w:ascii="宋体" w:hAnsi="宋体" w:eastAsia="宋体" w:cs="宋体"/>
                <w:i w:val="0"/>
                <w:iCs w:val="0"/>
                <w:caps w:val="0"/>
                <w:color w:val="auto"/>
                <w:spacing w:val="0"/>
                <w:sz w:val="24"/>
                <w:szCs w:val="24"/>
                <w:shd w:val="clear" w:fill="FFFFFF"/>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color w:val="auto"/>
                <w:spacing w:val="2"/>
                <w:sz w:val="24"/>
                <w:highlight w:val="none"/>
                <w:lang w:val="zh-CN"/>
              </w:rPr>
            </w:pPr>
            <w:r>
              <w:rPr>
                <w:rFonts w:hint="eastAsia" w:ascii="宋体" w:hAnsi="宋体" w:cs="宋体"/>
                <w:color w:val="auto"/>
                <w:spacing w:val="2"/>
                <w:sz w:val="24"/>
                <w:highlight w:val="none"/>
                <w:lang w:val="zh-CN"/>
              </w:rPr>
              <w:t>开标时间：</w:t>
            </w:r>
            <w:r>
              <w:rPr>
                <w:rFonts w:ascii="宋体" w:hAnsi="宋体" w:eastAsia="宋体"/>
                <w:bCs/>
                <w:color w:val="auto"/>
                <w:sz w:val="24"/>
                <w:szCs w:val="24"/>
                <w:highlight w:val="none"/>
                <w:u w:val="single"/>
              </w:rPr>
              <w:t>20</w:t>
            </w:r>
            <w:r>
              <w:rPr>
                <w:rFonts w:hint="eastAsia" w:ascii="宋体" w:hAnsi="宋体" w:eastAsia="宋体"/>
                <w:bCs/>
                <w:color w:val="auto"/>
                <w:sz w:val="24"/>
                <w:szCs w:val="24"/>
                <w:highlight w:val="none"/>
                <w:u w:val="single"/>
              </w:rPr>
              <w:t>23</w:t>
            </w:r>
            <w:r>
              <w:rPr>
                <w:rFonts w:ascii="宋体" w:hAnsi="宋体" w:eastAsia="宋体"/>
                <w:bCs/>
                <w:color w:val="auto"/>
                <w:sz w:val="24"/>
                <w:szCs w:val="24"/>
                <w:highlight w:val="none"/>
                <w:u w:val="single"/>
              </w:rPr>
              <w:t>年</w:t>
            </w:r>
            <w:r>
              <w:rPr>
                <w:rFonts w:hint="eastAsia" w:ascii="宋体" w:hAnsi="宋体" w:eastAsia="宋体"/>
                <w:bCs/>
                <w:color w:val="auto"/>
                <w:sz w:val="24"/>
                <w:szCs w:val="24"/>
                <w:highlight w:val="none"/>
                <w:u w:val="single"/>
                <w:lang w:val="en-US" w:eastAsia="zh-CN"/>
              </w:rPr>
              <w:t>2</w:t>
            </w:r>
            <w:r>
              <w:rPr>
                <w:rFonts w:ascii="宋体" w:hAnsi="宋体" w:eastAsia="宋体"/>
                <w:bCs/>
                <w:color w:val="auto"/>
                <w:sz w:val="24"/>
                <w:szCs w:val="24"/>
                <w:highlight w:val="none"/>
                <w:u w:val="single"/>
              </w:rPr>
              <w:t>月</w:t>
            </w:r>
            <w:r>
              <w:rPr>
                <w:rFonts w:hint="eastAsia" w:ascii="宋体" w:hAnsi="宋体" w:eastAsia="宋体"/>
                <w:bCs/>
                <w:color w:val="auto"/>
                <w:sz w:val="24"/>
                <w:szCs w:val="24"/>
                <w:highlight w:val="none"/>
                <w:u w:val="single"/>
                <w:lang w:val="en-US" w:eastAsia="zh-CN"/>
              </w:rPr>
              <w:t>7</w:t>
            </w:r>
            <w:r>
              <w:rPr>
                <w:rFonts w:ascii="宋体" w:hAnsi="宋体" w:eastAsia="宋体"/>
                <w:bCs/>
                <w:color w:val="auto"/>
                <w:sz w:val="24"/>
                <w:szCs w:val="24"/>
                <w:highlight w:val="none"/>
                <w:u w:val="single"/>
              </w:rPr>
              <w:t>日</w:t>
            </w:r>
            <w:r>
              <w:rPr>
                <w:rFonts w:hint="eastAsia" w:ascii="宋体" w:hAnsi="宋体" w:eastAsia="宋体"/>
                <w:bCs/>
                <w:color w:val="auto"/>
                <w:sz w:val="24"/>
                <w:szCs w:val="24"/>
                <w:highlight w:val="none"/>
                <w:u w:val="single"/>
              </w:rPr>
              <w:t>14</w:t>
            </w:r>
            <w:r>
              <w:rPr>
                <w:rFonts w:ascii="宋体" w:hAnsi="宋体" w:eastAsia="宋体"/>
                <w:bCs/>
                <w:color w:val="auto"/>
                <w:sz w:val="24"/>
                <w:szCs w:val="24"/>
                <w:highlight w:val="none"/>
                <w:u w:val="single"/>
              </w:rPr>
              <w:t>点</w:t>
            </w:r>
            <w:r>
              <w:rPr>
                <w:rFonts w:hint="eastAsia" w:ascii="宋体" w:hAnsi="宋体" w:eastAsia="宋体"/>
                <w:bCs/>
                <w:color w:val="auto"/>
                <w:sz w:val="24"/>
                <w:szCs w:val="24"/>
                <w:highlight w:val="none"/>
                <w:u w:val="single"/>
              </w:rPr>
              <w:t>30</w:t>
            </w:r>
            <w:r>
              <w:rPr>
                <w:rFonts w:ascii="宋体" w:hAnsi="宋体" w:eastAsia="宋体"/>
                <w:bCs/>
                <w:color w:val="auto"/>
                <w:sz w:val="24"/>
                <w:szCs w:val="24"/>
                <w:highlight w:val="none"/>
                <w:u w:val="single"/>
              </w:rPr>
              <w:t>分</w:t>
            </w:r>
          </w:p>
          <w:p>
            <w:pPr>
              <w:snapToGrid w:val="0"/>
              <w:spacing w:line="26" w:lineRule="atLeast"/>
              <w:ind w:firstLine="122" w:firstLineChars="50"/>
              <w:rPr>
                <w:rFonts w:ascii="宋体" w:hAnsi="宋体" w:cs="宋体"/>
                <w:color w:val="auto"/>
                <w:spacing w:val="2"/>
                <w:sz w:val="24"/>
                <w:highlight w:val="none"/>
              </w:rPr>
            </w:pPr>
            <w:r>
              <w:rPr>
                <w:rFonts w:hint="eastAsia" w:ascii="宋体" w:hAnsi="宋体" w:cs="宋体"/>
                <w:color w:val="auto"/>
                <w:spacing w:val="2"/>
                <w:sz w:val="24"/>
                <w:highlight w:val="none"/>
                <w:lang w:val="zh-CN"/>
              </w:rPr>
              <w:t>地　　点：</w:t>
            </w:r>
            <w:r>
              <w:rPr>
                <w:rFonts w:ascii="宋体" w:hAnsi="宋体" w:eastAsia="宋体" w:cs="宋体"/>
                <w:i w:val="0"/>
                <w:iCs w:val="0"/>
                <w:caps w:val="0"/>
                <w:color w:val="auto"/>
                <w:spacing w:val="0"/>
                <w:sz w:val="24"/>
                <w:szCs w:val="24"/>
                <w:shd w:val="clear" w:fill="FFFFFF"/>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color w:val="auto"/>
                <w:spacing w:val="2"/>
                <w:sz w:val="24"/>
              </w:rPr>
            </w:pPr>
            <w:r>
              <w:rPr>
                <w:rFonts w:hint="eastAsia" w:ascii="宋体" w:hAnsi="宋体" w:cs="宋体"/>
                <w:color w:val="auto"/>
                <w:spacing w:val="2"/>
                <w:sz w:val="24"/>
              </w:rPr>
              <w:t xml:space="preserve"> </w:t>
            </w:r>
            <w:r>
              <w:rPr>
                <w:rFonts w:hint="eastAsia" w:ascii="宋体" w:hAnsi="宋体" w:cs="宋体"/>
                <w:color w:val="auto"/>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
                <w:bCs/>
                <w:color w:val="auto"/>
                <w:sz w:val="24"/>
              </w:rPr>
            </w:pPr>
            <w:r>
              <w:rPr>
                <w:rFonts w:hint="eastAsia" w:ascii="宋体" w:hAnsi="宋体" w:cs="宋体"/>
                <w:color w:val="auto"/>
                <w:spacing w:val="2"/>
                <w:sz w:val="24"/>
              </w:rPr>
              <w:t xml:space="preserve"> </w:t>
            </w:r>
            <w:r>
              <w:rPr>
                <w:rFonts w:hint="eastAsia" w:ascii="宋体" w:hAnsi="宋体" w:cs="宋体"/>
                <w:color w:val="auto"/>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从提交响应文件的截止之日起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供应商信用信息查询渠道：</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查询截止时点：响应文件提交截止时间</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rPr>
          <w:rFonts w:ascii="黑体" w:hAnsi="华文中宋" w:eastAsia="黑体"/>
          <w:bCs/>
          <w:color w:val="000000" w:themeColor="text1"/>
          <w:sz w:val="30"/>
          <w:szCs w:val="30"/>
          <w14:textFill>
            <w14:solidFill>
              <w14:schemeClr w14:val="tx1"/>
            </w14:solidFill>
          </w14:textFill>
        </w:rPr>
      </w:pPr>
    </w:p>
    <w:p>
      <w:pPr>
        <w:rPr>
          <w:rFonts w:ascii="黑体" w:hAnsi="华文中宋" w:eastAsia="黑体"/>
          <w:bCs/>
          <w:color w:val="000000" w:themeColor="text1"/>
          <w:sz w:val="30"/>
          <w:szCs w:val="30"/>
          <w14:textFill>
            <w14:solidFill>
              <w14:schemeClr w14:val="tx1"/>
            </w14:solidFill>
          </w14:textFill>
        </w:rPr>
      </w:pPr>
    </w:p>
    <w:p>
      <w:pPr>
        <w:rPr>
          <w:rFonts w:ascii="黑体" w:hAnsi="华文中宋" w:eastAsia="黑体"/>
          <w:bCs/>
          <w:color w:val="000000" w:themeColor="text1"/>
          <w:sz w:val="30"/>
          <w:szCs w:val="30"/>
          <w14:textFill>
            <w14:solidFill>
              <w14:schemeClr w14:val="tx1"/>
            </w14:solidFill>
          </w14:textFill>
        </w:rPr>
      </w:pPr>
    </w:p>
    <w:p>
      <w:pPr>
        <w:rPr>
          <w:rFonts w:ascii="黑体" w:hAnsi="华文中宋" w:eastAsia="黑体"/>
          <w:bCs/>
          <w:color w:val="000000" w:themeColor="text1"/>
          <w:sz w:val="30"/>
          <w:szCs w:val="30"/>
          <w14:textFill>
            <w14:solidFill>
              <w14:schemeClr w14:val="tx1"/>
            </w14:solidFill>
          </w14:textFill>
        </w:rPr>
      </w:pPr>
    </w:p>
    <w:sdt>
      <w:sdtPr>
        <w:rPr>
          <w:rFonts w:asciiTheme="minorHAnsi" w:hAnsiTheme="minorHAnsi" w:eastAsiaTheme="minorEastAsia" w:cstheme="minorBidi"/>
          <w:b w:val="0"/>
          <w:bCs w:val="0"/>
          <w:color w:val="auto"/>
          <w:kern w:val="2"/>
          <w:sz w:val="21"/>
          <w:szCs w:val="22"/>
          <w:lang w:val="zh-CN"/>
        </w:rPr>
        <w:id w:val="-1880626030"/>
        <w:docPartObj>
          <w:docPartGallery w:val="Table of Contents"/>
          <w:docPartUnique/>
        </w:docPartObj>
      </w:sdtPr>
      <w:sdtEndPr>
        <w:rPr>
          <w:rFonts w:ascii="Calibri" w:hAnsi="Calibri" w:eastAsia="黑体" w:cstheme="minorBidi"/>
          <w:b w:val="0"/>
          <w:bCs w:val="0"/>
          <w:color w:val="auto"/>
          <w:kern w:val="2"/>
          <w:sz w:val="30"/>
          <w:szCs w:val="30"/>
          <w:lang w:val="en-US"/>
        </w:rPr>
      </w:sdtEndPr>
      <w:sdtContent>
        <w:p>
          <w:pPr>
            <w:pStyle w:val="116"/>
            <w:jc w:val="center"/>
            <w:rPr>
              <w:rFonts w:ascii="黑体" w:hAnsi="黑体" w:eastAsia="黑体"/>
              <w:color w:val="000000" w:themeColor="text1"/>
              <w:sz w:val="48"/>
              <w:szCs w:val="48"/>
              <w:lang w:val="zh-CN"/>
              <w14:textFill>
                <w14:solidFill>
                  <w14:schemeClr w14:val="tx1"/>
                </w14:solidFill>
              </w14:textFill>
            </w:rPr>
          </w:pPr>
          <w:r>
            <w:rPr>
              <w:rFonts w:ascii="黑体" w:hAnsi="黑体" w:eastAsia="黑体"/>
              <w:color w:val="000000" w:themeColor="text1"/>
              <w:sz w:val="48"/>
              <w:szCs w:val="48"/>
              <w:lang w:val="zh-CN"/>
              <w14:textFill>
                <w14:solidFill>
                  <w14:schemeClr w14:val="tx1"/>
                </w14:solidFill>
              </w14:textFill>
            </w:rPr>
            <w:t>目</w:t>
          </w:r>
          <w:r>
            <w:rPr>
              <w:rFonts w:hint="eastAsia" w:ascii="黑体" w:hAnsi="黑体" w:eastAsia="黑体"/>
              <w:color w:val="000000" w:themeColor="text1"/>
              <w:sz w:val="48"/>
              <w:szCs w:val="48"/>
              <w:lang w:val="zh-CN"/>
              <w14:textFill>
                <w14:solidFill>
                  <w14:schemeClr w14:val="tx1"/>
                </w14:solidFill>
              </w14:textFill>
            </w:rPr>
            <w:t xml:space="preserve"> </w:t>
          </w:r>
          <w:r>
            <w:rPr>
              <w:rFonts w:ascii="黑体" w:hAnsi="黑体" w:eastAsia="黑体"/>
              <w:color w:val="000000" w:themeColor="text1"/>
              <w:sz w:val="48"/>
              <w:szCs w:val="48"/>
              <w:lang w:val="zh-CN"/>
              <w14:textFill>
                <w14:solidFill>
                  <w14:schemeClr w14:val="tx1"/>
                </w14:solidFill>
              </w14:textFill>
            </w:rPr>
            <w:t>录</w:t>
          </w:r>
        </w:p>
        <w:p>
          <w:pPr>
            <w:pStyle w:val="22"/>
            <w:rPr>
              <w:rFonts w:eastAsiaTheme="minorEastAsia"/>
              <w:sz w:val="21"/>
              <w:szCs w:val="22"/>
            </w:rPr>
          </w:pPr>
          <w:r>
            <w:rPr>
              <w:rFonts w:cstheme="minorHAnsi"/>
              <w:sz w:val="32"/>
              <w:szCs w:val="32"/>
            </w:rPr>
            <w:fldChar w:fldCharType="begin"/>
          </w:r>
          <w:r>
            <w:rPr>
              <w:rFonts w:cstheme="minorHAnsi"/>
              <w:sz w:val="32"/>
              <w:szCs w:val="32"/>
            </w:rPr>
            <w:instrText xml:space="preserve">TOC \o "1-3" \h \z \u</w:instrText>
          </w:r>
          <w:r>
            <w:rPr>
              <w:rFonts w:cstheme="minorHAnsi"/>
              <w:sz w:val="32"/>
              <w:szCs w:val="32"/>
            </w:rPr>
            <w:fldChar w:fldCharType="separate"/>
          </w:r>
        </w:p>
        <w:p>
          <w:pPr>
            <w:pStyle w:val="22"/>
            <w:rPr>
              <w:rFonts w:eastAsiaTheme="minorEastAsia"/>
              <w:sz w:val="21"/>
              <w:szCs w:val="22"/>
            </w:rPr>
          </w:pPr>
          <w:r>
            <w:fldChar w:fldCharType="begin"/>
          </w:r>
          <w:r>
            <w:instrText xml:space="preserve"> HYPERLINK \l "_Toc92976615" </w:instrText>
          </w:r>
          <w:r>
            <w:fldChar w:fldCharType="separate"/>
          </w:r>
          <w:r>
            <w:rPr>
              <w:rStyle w:val="38"/>
              <w:rFonts w:hint="eastAsia"/>
            </w:rPr>
            <w:t>一．磋商邀请函</w:t>
          </w:r>
          <w:r>
            <w:tab/>
          </w:r>
          <w:r>
            <w:fldChar w:fldCharType="begin"/>
          </w:r>
          <w:r>
            <w:instrText xml:space="preserve"> PAGEREF _Toc92976615 \h </w:instrText>
          </w:r>
          <w:r>
            <w:fldChar w:fldCharType="separate"/>
          </w:r>
          <w:r>
            <w:t>3</w:t>
          </w:r>
          <w:r>
            <w:fldChar w:fldCharType="end"/>
          </w:r>
          <w:r>
            <w:fldChar w:fldCharType="end"/>
          </w:r>
        </w:p>
        <w:p>
          <w:pPr>
            <w:pStyle w:val="22"/>
            <w:rPr>
              <w:rFonts w:eastAsiaTheme="minorEastAsia"/>
              <w:sz w:val="21"/>
              <w:szCs w:val="22"/>
            </w:rPr>
          </w:pPr>
          <w:r>
            <w:fldChar w:fldCharType="begin"/>
          </w:r>
          <w:r>
            <w:instrText xml:space="preserve"> HYPERLINK \l "_Toc92976616" </w:instrText>
          </w:r>
          <w:r>
            <w:fldChar w:fldCharType="separate"/>
          </w:r>
          <w:r>
            <w:rPr>
              <w:rStyle w:val="38"/>
              <w:rFonts w:hint="eastAsia"/>
            </w:rPr>
            <w:t>二．供应商须知</w:t>
          </w:r>
          <w:r>
            <w:tab/>
          </w:r>
          <w:r>
            <w:fldChar w:fldCharType="begin"/>
          </w:r>
          <w:r>
            <w:instrText xml:space="preserve"> PAGEREF _Toc92976616 \h </w:instrText>
          </w:r>
          <w:r>
            <w:fldChar w:fldCharType="separate"/>
          </w:r>
          <w:r>
            <w:t>6</w:t>
          </w:r>
          <w:r>
            <w:fldChar w:fldCharType="end"/>
          </w:r>
          <w:r>
            <w:fldChar w:fldCharType="end"/>
          </w:r>
        </w:p>
        <w:p>
          <w:pPr>
            <w:pStyle w:val="22"/>
            <w:rPr>
              <w:rFonts w:eastAsiaTheme="minorEastAsia"/>
              <w:sz w:val="21"/>
              <w:szCs w:val="22"/>
            </w:rPr>
          </w:pPr>
          <w:r>
            <w:fldChar w:fldCharType="begin"/>
          </w:r>
          <w:r>
            <w:instrText xml:space="preserve"> HYPERLINK \l "_Toc92976617" </w:instrText>
          </w:r>
          <w:r>
            <w:fldChar w:fldCharType="separate"/>
          </w:r>
          <w:r>
            <w:rPr>
              <w:rStyle w:val="38"/>
              <w:rFonts w:hint="eastAsia"/>
            </w:rPr>
            <w:t>三．项目技术要求和有关说明</w:t>
          </w:r>
          <w:r>
            <w:tab/>
          </w:r>
          <w:r>
            <w:fldChar w:fldCharType="begin"/>
          </w:r>
          <w:r>
            <w:instrText xml:space="preserve"> PAGEREF _Toc92976617 \h </w:instrText>
          </w:r>
          <w:r>
            <w:fldChar w:fldCharType="separate"/>
          </w:r>
          <w:r>
            <w:t>13</w:t>
          </w:r>
          <w:r>
            <w:fldChar w:fldCharType="end"/>
          </w:r>
          <w:r>
            <w:fldChar w:fldCharType="end"/>
          </w:r>
        </w:p>
        <w:p>
          <w:pPr>
            <w:pStyle w:val="22"/>
            <w:rPr>
              <w:rFonts w:eastAsiaTheme="minorEastAsia"/>
              <w:sz w:val="21"/>
              <w:szCs w:val="22"/>
            </w:rPr>
          </w:pPr>
          <w:r>
            <w:fldChar w:fldCharType="begin"/>
          </w:r>
          <w:r>
            <w:instrText xml:space="preserve"> HYPERLINK \l "_Toc92976618" </w:instrText>
          </w:r>
          <w:r>
            <w:fldChar w:fldCharType="separate"/>
          </w:r>
          <w:r>
            <w:rPr>
              <w:rStyle w:val="38"/>
              <w:rFonts w:hint="eastAsia" w:ascii="黑体" w:hAnsi="黑体"/>
              <w:bCs/>
              <w:kern w:val="0"/>
            </w:rPr>
            <w:t>四．合同条款及格式</w:t>
          </w:r>
          <w:r>
            <w:tab/>
          </w:r>
          <w:r>
            <w:fldChar w:fldCharType="begin"/>
          </w:r>
          <w:r>
            <w:instrText xml:space="preserve"> PAGEREF _Toc92976618 \h </w:instrText>
          </w:r>
          <w:r>
            <w:fldChar w:fldCharType="separate"/>
          </w:r>
          <w:r>
            <w:t>13</w:t>
          </w:r>
          <w:r>
            <w:fldChar w:fldCharType="end"/>
          </w:r>
          <w:r>
            <w:fldChar w:fldCharType="end"/>
          </w:r>
        </w:p>
        <w:p>
          <w:pPr>
            <w:pStyle w:val="22"/>
            <w:rPr>
              <w:rFonts w:eastAsiaTheme="minorEastAsia"/>
              <w:sz w:val="21"/>
              <w:szCs w:val="22"/>
            </w:rPr>
          </w:pPr>
          <w:r>
            <w:fldChar w:fldCharType="begin"/>
          </w:r>
          <w:r>
            <w:instrText xml:space="preserve"> HYPERLINK \l "_Toc92976622" </w:instrText>
          </w:r>
          <w:r>
            <w:fldChar w:fldCharType="separate"/>
          </w:r>
          <w:r>
            <w:rPr>
              <w:rStyle w:val="38"/>
              <w:rFonts w:hint="eastAsia"/>
            </w:rPr>
            <w:t>五．评分标准</w:t>
          </w:r>
          <w:r>
            <w:tab/>
          </w:r>
          <w:r>
            <w:fldChar w:fldCharType="begin"/>
          </w:r>
          <w:r>
            <w:instrText xml:space="preserve"> PAGEREF _Toc92976622 \h </w:instrText>
          </w:r>
          <w:r>
            <w:fldChar w:fldCharType="separate"/>
          </w:r>
          <w:r>
            <w:t>26</w:t>
          </w:r>
          <w:r>
            <w:fldChar w:fldCharType="end"/>
          </w:r>
          <w:r>
            <w:fldChar w:fldCharType="end"/>
          </w:r>
        </w:p>
        <w:p>
          <w:pPr>
            <w:pStyle w:val="22"/>
            <w:rPr>
              <w:rFonts w:eastAsiaTheme="minorEastAsia"/>
              <w:sz w:val="21"/>
              <w:szCs w:val="22"/>
            </w:rPr>
          </w:pPr>
          <w:r>
            <w:fldChar w:fldCharType="begin"/>
          </w:r>
          <w:r>
            <w:instrText xml:space="preserve"> HYPERLINK \l "_Toc92976623" </w:instrText>
          </w:r>
          <w:r>
            <w:fldChar w:fldCharType="separate"/>
          </w:r>
          <w:r>
            <w:rPr>
              <w:rStyle w:val="38"/>
              <w:rFonts w:hint="eastAsia" w:ascii="黑体" w:hAnsi="黑体"/>
              <w:bCs/>
              <w:kern w:val="0"/>
            </w:rPr>
            <w:t>六．响应文件格式</w:t>
          </w:r>
          <w:r>
            <w:tab/>
          </w:r>
          <w:r>
            <w:fldChar w:fldCharType="begin"/>
          </w:r>
          <w:r>
            <w:instrText xml:space="preserve"> PAGEREF _Toc92976623 \h </w:instrText>
          </w:r>
          <w:r>
            <w:fldChar w:fldCharType="separate"/>
          </w:r>
          <w:r>
            <w:t>28</w:t>
          </w:r>
          <w:r>
            <w:fldChar w:fldCharType="end"/>
          </w:r>
          <w:r>
            <w:fldChar w:fldCharType="end"/>
          </w:r>
        </w:p>
        <w:p>
          <w:pPr>
            <w:pStyle w:val="22"/>
            <w:rPr>
              <w:rFonts w:eastAsiaTheme="minorEastAsia"/>
              <w:sz w:val="21"/>
              <w:szCs w:val="22"/>
            </w:rPr>
          </w:pPr>
          <w:r>
            <w:fldChar w:fldCharType="begin"/>
          </w:r>
          <w:r>
            <w:instrText xml:space="preserve"> HYPERLINK \l "_Toc92976624" </w:instrText>
          </w:r>
          <w:r>
            <w:fldChar w:fldCharType="separate"/>
          </w:r>
          <w:r>
            <w:rPr>
              <w:rStyle w:val="38"/>
              <w:rFonts w:hint="eastAsia" w:ascii="黑体" w:hAnsi="黑体"/>
              <w:bCs/>
              <w:kern w:val="0"/>
            </w:rPr>
            <w:t>友</w:t>
          </w:r>
          <w:r>
            <w:rPr>
              <w:rStyle w:val="38"/>
              <w:rFonts w:ascii="黑体" w:hAnsi="黑体"/>
              <w:bCs/>
              <w:kern w:val="0"/>
            </w:rPr>
            <w:t xml:space="preserve"> </w:t>
          </w:r>
          <w:r>
            <w:rPr>
              <w:rStyle w:val="38"/>
              <w:rFonts w:hint="eastAsia" w:ascii="黑体" w:hAnsi="黑体"/>
              <w:bCs/>
              <w:kern w:val="0"/>
            </w:rPr>
            <w:t>情</w:t>
          </w:r>
          <w:r>
            <w:rPr>
              <w:rStyle w:val="38"/>
              <w:rFonts w:ascii="黑体" w:hAnsi="黑体"/>
              <w:bCs/>
              <w:kern w:val="0"/>
            </w:rPr>
            <w:t xml:space="preserve"> </w:t>
          </w:r>
          <w:r>
            <w:rPr>
              <w:rStyle w:val="38"/>
              <w:rFonts w:hint="eastAsia" w:ascii="黑体" w:hAnsi="黑体"/>
              <w:bCs/>
              <w:kern w:val="0"/>
            </w:rPr>
            <w:t>提</w:t>
          </w:r>
          <w:r>
            <w:rPr>
              <w:rStyle w:val="38"/>
              <w:rFonts w:ascii="黑体" w:hAnsi="黑体"/>
              <w:bCs/>
              <w:kern w:val="0"/>
            </w:rPr>
            <w:t xml:space="preserve"> </w:t>
          </w:r>
          <w:r>
            <w:rPr>
              <w:rStyle w:val="38"/>
              <w:rFonts w:hint="eastAsia" w:ascii="黑体" w:hAnsi="黑体"/>
              <w:bCs/>
              <w:kern w:val="0"/>
            </w:rPr>
            <w:t>醒</w:t>
          </w:r>
          <w:r>
            <w:tab/>
          </w:r>
          <w:r>
            <w:fldChar w:fldCharType="begin"/>
          </w:r>
          <w:r>
            <w:instrText xml:space="preserve"> PAGEREF _Toc92976624 \h </w:instrText>
          </w:r>
          <w:r>
            <w:fldChar w:fldCharType="separate"/>
          </w:r>
          <w:r>
            <w:t>45</w:t>
          </w:r>
          <w:r>
            <w:fldChar w:fldCharType="end"/>
          </w:r>
          <w:r>
            <w:fldChar w:fldCharType="end"/>
          </w:r>
        </w:p>
        <w:p>
          <w:pPr>
            <w:spacing w:before="120" w:after="120" w:line="360" w:lineRule="auto"/>
            <w:rPr>
              <w:rFonts w:ascii="Calibri" w:hAnsi="Calibri"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eastAsia="黑体" w:cstheme="minorHAnsi"/>
              <w:sz w:val="32"/>
              <w:szCs w:val="32"/>
            </w:rPr>
            <w:fldChar w:fldCharType="end"/>
          </w:r>
        </w:p>
      </w:sdtContent>
    </w:sdt>
    <w:p>
      <w:pPr>
        <w:pStyle w:val="121"/>
      </w:pPr>
      <w:bookmarkStart w:id="4" w:name="_Toc92976615"/>
      <w:r>
        <w:rPr>
          <w:rFonts w:hint="eastAsia"/>
        </w:rPr>
        <w:t>一．磋商邀请函</w:t>
      </w:r>
      <w:bookmarkEnd w:id="1"/>
      <w:bookmarkEnd w:id="4"/>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项目概况</w:t>
      </w:r>
    </w:p>
    <w:p>
      <w:pPr>
        <w:pBdr>
          <w:top w:val="single" w:color="auto" w:sz="4" w:space="1"/>
          <w:left w:val="single" w:color="auto" w:sz="4" w:space="4"/>
          <w:bottom w:val="single" w:color="auto" w:sz="4" w:space="1"/>
          <w:right w:val="single" w:color="auto" w:sz="4" w:space="4"/>
        </w:pBdr>
        <w:wordWrap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u w:val="single"/>
        </w:rPr>
        <w:t>腾龙大道智慧快速路二期工程、中吴大道西延智慧快速路工程、机场路快速化改造收尾工程造价咨询服务项目</w:t>
      </w:r>
      <w:r>
        <w:rPr>
          <w:rFonts w:hint="eastAsia" w:ascii="宋体" w:hAnsi="宋体" w:eastAsia="宋体"/>
          <w:sz w:val="24"/>
          <w:szCs w:val="24"/>
        </w:rPr>
        <w:t>的潜在供应商应在</w:t>
      </w:r>
      <w:r>
        <w:rPr>
          <w:rFonts w:hint="eastAsia" w:ascii="宋体" w:hAnsi="宋体" w:eastAsia="宋体"/>
          <w:sz w:val="24"/>
          <w:szCs w:val="24"/>
          <w:u w:val="single"/>
        </w:rPr>
        <w:t>江苏仁禾中衡工程咨询房地产估价有限公司网（</w:t>
      </w:r>
      <w:r>
        <w:fldChar w:fldCharType="begin"/>
      </w:r>
      <w:r>
        <w:instrText xml:space="preserve"> HYPERLINK "http://www.jsrhzh.com/info.asp?id=1）获取采购文件，并于2023年" </w:instrText>
      </w:r>
      <w:r>
        <w:fldChar w:fldCharType="separate"/>
      </w:r>
      <w:r>
        <w:rPr>
          <w:rStyle w:val="38"/>
          <w:rFonts w:ascii="宋体" w:hAnsi="宋体" w:eastAsia="宋体" w:cstheme="minorBidi"/>
          <w:sz w:val="24"/>
          <w:szCs w:val="24"/>
        </w:rPr>
        <w:t>http：//www.jsrhzh.com/info.asp?id=1</w:t>
      </w:r>
      <w:r>
        <w:rPr>
          <w:rStyle w:val="38"/>
          <w:rFonts w:hint="eastAsia" w:ascii="宋体" w:hAnsi="宋体" w:eastAsia="宋体" w:cstheme="minorBidi"/>
          <w:sz w:val="24"/>
          <w:szCs w:val="24"/>
        </w:rPr>
        <w:t>）获取采购文件，并于</w:t>
      </w:r>
      <w:r>
        <w:rPr>
          <w:rStyle w:val="38"/>
          <w:rFonts w:ascii="宋体" w:hAnsi="宋体" w:eastAsia="宋体" w:cstheme="minorBidi"/>
          <w:bCs/>
          <w:sz w:val="24"/>
          <w:szCs w:val="24"/>
        </w:rPr>
        <w:t>20</w:t>
      </w:r>
      <w:r>
        <w:rPr>
          <w:rStyle w:val="38"/>
          <w:rFonts w:hint="eastAsia" w:ascii="宋体" w:hAnsi="宋体" w:eastAsia="宋体" w:cstheme="minorBidi"/>
          <w:bCs/>
          <w:sz w:val="24"/>
          <w:szCs w:val="24"/>
        </w:rPr>
        <w:t>23</w:t>
      </w:r>
      <w:r>
        <w:rPr>
          <w:rStyle w:val="38"/>
          <w:rFonts w:ascii="宋体" w:hAnsi="宋体" w:eastAsia="宋体" w:cstheme="minorBidi"/>
          <w:bCs/>
          <w:sz w:val="24"/>
          <w:szCs w:val="24"/>
        </w:rPr>
        <w:t>年</w:t>
      </w:r>
      <w:r>
        <w:rPr>
          <w:rStyle w:val="38"/>
          <w:rFonts w:ascii="宋体" w:hAnsi="宋体" w:eastAsia="宋体" w:cstheme="minorBidi"/>
          <w:bCs/>
          <w:sz w:val="24"/>
          <w:szCs w:val="24"/>
        </w:rPr>
        <w:fldChar w:fldCharType="end"/>
      </w:r>
      <w:r>
        <w:rPr>
          <w:rFonts w:hint="eastAsia" w:ascii="宋体" w:hAnsi="宋体" w:eastAsia="宋体"/>
          <w:bCs/>
          <w:sz w:val="24"/>
          <w:szCs w:val="24"/>
          <w:u w:val="single"/>
        </w:rPr>
        <w:t>2</w:t>
      </w:r>
      <w:r>
        <w:rPr>
          <w:rFonts w:ascii="宋体" w:hAnsi="宋体" w:eastAsia="宋体"/>
          <w:bCs/>
          <w:sz w:val="24"/>
          <w:szCs w:val="24"/>
          <w:u w:val="single"/>
        </w:rPr>
        <w:t>月</w:t>
      </w:r>
      <w:r>
        <w:rPr>
          <w:rFonts w:hint="eastAsia" w:ascii="宋体" w:hAnsi="宋体" w:eastAsia="宋体"/>
          <w:bCs/>
          <w:sz w:val="24"/>
          <w:szCs w:val="24"/>
          <w:u w:val="single"/>
          <w:lang w:val="en-US" w:eastAsia="zh-CN"/>
        </w:rPr>
        <w:t>7</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r>
        <w:rPr>
          <w:rFonts w:hint="eastAsia" w:ascii="宋体" w:hAnsi="宋体" w:eastAsia="宋体"/>
          <w:bCs/>
          <w:sz w:val="24"/>
          <w:szCs w:val="24"/>
          <w:u w:val="single"/>
        </w:rPr>
        <w:t>（</w:t>
      </w:r>
      <w:r>
        <w:rPr>
          <w:rFonts w:hint="eastAsia" w:ascii="宋体" w:hAnsi="宋体" w:eastAsia="宋体"/>
          <w:bCs/>
          <w:sz w:val="24"/>
          <w:szCs w:val="24"/>
        </w:rPr>
        <w:t>北京时间）前提交响应文件</w:t>
      </w:r>
      <w:r>
        <w:rPr>
          <w:rFonts w:hint="eastAsia" w:ascii="宋体" w:hAnsi="宋体" w:eastAsia="宋体"/>
          <w:sz w:val="24"/>
          <w:szCs w:val="24"/>
        </w:rPr>
        <w:t>。</w:t>
      </w:r>
    </w:p>
    <w:p>
      <w:pPr>
        <w:snapToGrid w:val="0"/>
        <w:spacing w:line="360" w:lineRule="auto"/>
        <w:ind w:firstLine="240" w:firstLineChars="100"/>
        <w:rPr>
          <w:rFonts w:ascii="Times New Roman" w:hAnsi="Times New Roman"/>
          <w:sz w:val="24"/>
          <w:szCs w:val="24"/>
        </w:rPr>
      </w:pPr>
      <w:bookmarkStart w:id="5" w:name="_Toc35393621"/>
      <w:bookmarkStart w:id="6" w:name="_Toc28359079"/>
      <w:bookmarkStart w:id="7" w:name="_Toc35393790"/>
      <w:bookmarkStart w:id="8" w:name="_Toc28359002"/>
      <w:bookmarkStart w:id="9" w:name="_Hlk24379207"/>
    </w:p>
    <w:p>
      <w:pPr>
        <w:spacing w:line="360" w:lineRule="auto"/>
        <w:rPr>
          <w:b/>
          <w:bCs/>
          <w:sz w:val="24"/>
          <w:szCs w:val="24"/>
        </w:rPr>
      </w:pPr>
      <w:r>
        <w:rPr>
          <w:rFonts w:hint="eastAsia"/>
          <w:b/>
          <w:bCs/>
          <w:sz w:val="24"/>
          <w:szCs w:val="24"/>
        </w:rPr>
        <w:t>一、项目基本情况</w:t>
      </w:r>
      <w:bookmarkEnd w:id="5"/>
      <w:bookmarkEnd w:id="6"/>
      <w:bookmarkEnd w:id="7"/>
      <w:bookmarkEnd w:id="8"/>
    </w:p>
    <w:p>
      <w:pPr>
        <w:snapToGrid w:val="0"/>
        <w:spacing w:line="360" w:lineRule="auto"/>
        <w:ind w:firstLine="480" w:firstLineChars="200"/>
        <w:rPr>
          <w:rFonts w:hint="eastAsia" w:asciiTheme="minorEastAsia" w:hAnsiTheme="minorEastAsia" w:eastAsiaTheme="minorEastAsia"/>
          <w:color w:val="FF0000"/>
          <w:sz w:val="24"/>
          <w:szCs w:val="24"/>
          <w:highlight w:val="none"/>
          <w:shd w:val="clear" w:color="auto" w:fill="auto"/>
          <w:lang w:val="en-US" w:eastAsia="zh-CN"/>
        </w:rPr>
      </w:pPr>
      <w:r>
        <w:rPr>
          <w:rFonts w:hint="eastAsia" w:asciiTheme="minorEastAsia" w:hAnsiTheme="minorEastAsia"/>
          <w:sz w:val="24"/>
          <w:szCs w:val="24"/>
          <w:highlight w:val="none"/>
          <w:shd w:val="clear" w:color="auto" w:fill="auto"/>
        </w:rPr>
        <w:t>项目编号：</w:t>
      </w:r>
      <w:r>
        <w:rPr>
          <w:rFonts w:asciiTheme="minorEastAsia" w:hAnsiTheme="minorEastAsia"/>
          <w:sz w:val="24"/>
          <w:szCs w:val="24"/>
          <w:highlight w:val="none"/>
          <w:shd w:val="clear" w:color="auto" w:fill="auto"/>
        </w:rPr>
        <w:t>JSRHJC202300</w:t>
      </w:r>
      <w:r>
        <w:rPr>
          <w:rFonts w:hint="eastAsia" w:asciiTheme="minorEastAsia" w:hAnsiTheme="minorEastAsia"/>
          <w:sz w:val="24"/>
          <w:szCs w:val="24"/>
          <w:highlight w:val="none"/>
          <w:shd w:val="clear" w:color="auto" w:fill="auto"/>
          <w:lang w:val="en-US" w:eastAsia="zh-CN"/>
        </w:rPr>
        <w:t>4</w:t>
      </w:r>
    </w:p>
    <w:p>
      <w:pPr>
        <w:snapToGrid w:val="0"/>
        <w:spacing w:line="360" w:lineRule="auto"/>
        <w:ind w:firstLine="480" w:firstLineChars="200"/>
        <w:rPr>
          <w:rFonts w:asciiTheme="minorEastAsia" w:hAnsiTheme="minorEastAsia"/>
          <w:sz w:val="24"/>
          <w:szCs w:val="24"/>
          <w:highlight w:val="none"/>
          <w:shd w:val="clear" w:color="auto" w:fill="auto"/>
        </w:rPr>
      </w:pPr>
      <w:r>
        <w:rPr>
          <w:rFonts w:hint="eastAsia" w:asciiTheme="minorEastAsia" w:hAnsiTheme="minorEastAsia"/>
          <w:sz w:val="24"/>
          <w:szCs w:val="24"/>
          <w:highlight w:val="none"/>
          <w:shd w:val="clear" w:color="auto" w:fill="auto"/>
        </w:rPr>
        <w:t>项目名称：腾龙大道智慧快速路二期工程、中吴大道西延智慧快速路工程、机场路快速化改造收尾工程造价咨询服务项目</w:t>
      </w:r>
    </w:p>
    <w:p>
      <w:pPr>
        <w:snapToGrid w:val="0"/>
        <w:spacing w:line="360" w:lineRule="auto"/>
        <w:ind w:firstLine="480" w:firstLineChars="200"/>
        <w:rPr>
          <w:rFonts w:asciiTheme="minorEastAsia" w:hAnsiTheme="minorEastAsia"/>
          <w:sz w:val="24"/>
          <w:szCs w:val="24"/>
          <w:highlight w:val="none"/>
          <w:shd w:val="clear" w:color="auto" w:fill="auto"/>
        </w:rPr>
      </w:pPr>
      <w:r>
        <w:rPr>
          <w:rFonts w:hint="eastAsia" w:asciiTheme="minorEastAsia" w:hAnsiTheme="minorEastAsia"/>
          <w:sz w:val="24"/>
          <w:szCs w:val="24"/>
          <w:highlight w:val="none"/>
          <w:shd w:val="clear" w:color="auto" w:fill="auto"/>
        </w:rPr>
        <w:t>采购方式：口竞争性谈判</w:t>
      </w:r>
      <w:r>
        <w:rPr>
          <w:rFonts w:hint="eastAsia" w:ascii="MS Gothic" w:hAnsi="MS Gothic" w:eastAsia="MS Gothic" w:cs="MS Gothic"/>
          <w:sz w:val="24"/>
          <w:szCs w:val="24"/>
          <w:highlight w:val="none"/>
          <w:shd w:val="clear" w:color="auto" w:fill="auto"/>
        </w:rPr>
        <w:t>☑</w:t>
      </w:r>
      <w:r>
        <w:rPr>
          <w:rFonts w:hint="eastAsia" w:asciiTheme="minorEastAsia" w:hAnsiTheme="minorEastAsia"/>
          <w:sz w:val="24"/>
          <w:szCs w:val="24"/>
          <w:highlight w:val="none"/>
          <w:shd w:val="clear" w:color="auto" w:fill="auto"/>
        </w:rPr>
        <w:t>竞争性磋商口询价</w:t>
      </w:r>
    </w:p>
    <w:bookmarkEnd w:id="9"/>
    <w:p>
      <w:pPr>
        <w:snapToGrid w:val="0"/>
        <w:spacing w:line="360" w:lineRule="auto"/>
        <w:ind w:firstLine="480" w:firstLineChars="200"/>
        <w:rPr>
          <w:rFonts w:asciiTheme="minorEastAsia" w:hAnsiTheme="minorEastAsia"/>
          <w:sz w:val="24"/>
          <w:szCs w:val="24"/>
          <w:highlight w:val="none"/>
          <w:shd w:val="clear" w:color="auto" w:fill="auto"/>
        </w:rPr>
      </w:pPr>
      <w:r>
        <w:rPr>
          <w:rFonts w:hint="eastAsia" w:asciiTheme="minorEastAsia" w:hAnsiTheme="minorEastAsia"/>
          <w:sz w:val="24"/>
          <w:szCs w:val="24"/>
          <w:highlight w:val="none"/>
          <w:shd w:val="clear" w:color="auto" w:fill="auto"/>
        </w:rPr>
        <w:t>最高折扣限价：80%</w:t>
      </w:r>
    </w:p>
    <w:p>
      <w:pPr>
        <w:snapToGrid w:val="0"/>
        <w:spacing w:line="360" w:lineRule="auto"/>
        <w:ind w:firstLine="480" w:firstLineChars="200"/>
        <w:rPr>
          <w:rFonts w:asciiTheme="minorEastAsia" w:hAnsiTheme="minorEastAsia"/>
          <w:sz w:val="24"/>
          <w:szCs w:val="24"/>
          <w:highlight w:val="none"/>
          <w:shd w:val="clear" w:color="auto" w:fill="auto"/>
        </w:rPr>
      </w:pPr>
      <w:r>
        <w:rPr>
          <w:rFonts w:hint="eastAsia" w:asciiTheme="minorEastAsia" w:hAnsiTheme="minorEastAsia"/>
          <w:sz w:val="24"/>
          <w:szCs w:val="24"/>
          <w:highlight w:val="none"/>
          <w:shd w:val="clear" w:color="auto" w:fill="auto"/>
        </w:rPr>
        <w:t>采购需求：腾龙大道智慧快速路二期工程、中吴大道西延智慧快速路工程、机场路快速化改造收尾工程工程量清单及最高投标限价的编制。</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highlight w:val="none"/>
          <w:shd w:val="clear" w:color="auto" w:fill="auto"/>
        </w:rPr>
        <w:t>合同履行期限：</w:t>
      </w:r>
      <w:r>
        <w:rPr>
          <w:rFonts w:hint="eastAsia" w:ascii="宋体" w:hAnsi="宋体" w:cs="宋体"/>
          <w:spacing w:val="2"/>
          <w:sz w:val="24"/>
          <w:highlight w:val="none"/>
          <w:shd w:val="clear" w:color="auto" w:fill="auto"/>
        </w:rPr>
        <w:t>满足项目招标进度需求。</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w:t>
      </w:r>
      <w:r>
        <w:rPr>
          <w:rFonts w:hint="eastAsia" w:asciiTheme="minorEastAsia" w:hAnsiTheme="minorEastAsia"/>
          <w:sz w:val="24"/>
          <w:szCs w:val="24"/>
          <w:u w:val="single"/>
        </w:rPr>
        <w:t>不接受</w:t>
      </w:r>
      <w:r>
        <w:rPr>
          <w:rFonts w:hint="eastAsia" w:asciiTheme="minorEastAsia" w:hAnsiTheme="minorEastAsia"/>
          <w:sz w:val="24"/>
          <w:szCs w:val="24"/>
        </w:rPr>
        <w:t>联合体。</w:t>
      </w:r>
    </w:p>
    <w:p>
      <w:pPr>
        <w:spacing w:line="360" w:lineRule="auto"/>
        <w:rPr>
          <w:b/>
          <w:bCs/>
          <w:sz w:val="24"/>
          <w:szCs w:val="24"/>
        </w:rPr>
      </w:pPr>
      <w:bookmarkStart w:id="10" w:name="_Toc35393791"/>
      <w:bookmarkStart w:id="11" w:name="_Toc35393622"/>
      <w:bookmarkStart w:id="12" w:name="_Toc28359080"/>
      <w:bookmarkStart w:id="13" w:name="_Toc28359003"/>
      <w:r>
        <w:rPr>
          <w:rFonts w:hint="eastAsia"/>
          <w:b/>
          <w:bCs/>
          <w:sz w:val="24"/>
          <w:szCs w:val="24"/>
        </w:rPr>
        <w:t>二、申请人的资格要求</w:t>
      </w:r>
      <w:bookmarkEnd w:id="10"/>
      <w:bookmarkEnd w:id="11"/>
      <w:bookmarkEnd w:id="12"/>
      <w:bookmarkEnd w:id="13"/>
      <w:r>
        <w:rPr>
          <w:rFonts w:hint="eastAsia"/>
          <w:b/>
          <w:bCs/>
          <w:sz w:val="24"/>
          <w:szCs w:val="24"/>
        </w:rPr>
        <w:t>：</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1.满足《中华人民共和国政府采购法》第二十二条规定；</w:t>
      </w:r>
    </w:p>
    <w:p>
      <w:pPr>
        <w:snapToGrid w:val="0"/>
        <w:spacing w:line="360" w:lineRule="auto"/>
        <w:ind w:firstLine="480" w:firstLineChars="200"/>
        <w:rPr>
          <w:rFonts w:asciiTheme="minorEastAsia" w:hAnsiTheme="minorEastAsia"/>
          <w:sz w:val="24"/>
          <w:szCs w:val="24"/>
        </w:rPr>
      </w:pPr>
      <w:bookmarkStart w:id="14" w:name="_Toc28359004"/>
      <w:bookmarkStart w:id="15" w:name="_Toc28359081"/>
      <w:r>
        <w:rPr>
          <w:rFonts w:hint="eastAsia" w:asciiTheme="minorEastAsia" w:hAnsiTheme="minorEastAsia"/>
          <w:sz w:val="24"/>
          <w:szCs w:val="24"/>
        </w:rPr>
        <w:t>2.落实政府采购政策需满足的资格要求：无</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3.本项目的特定资格要求：</w:t>
      </w:r>
      <w:bookmarkStart w:id="16" w:name="_Toc35393623"/>
      <w:bookmarkStart w:id="17" w:name="_Toc35393792"/>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（2）单位负责人为同一人或者存在直接控股、管理关系的不同供应商，不得参加同一合同项下的政府采购活动。</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（3）采购人的其他特定资格要求：/</w:t>
      </w:r>
    </w:p>
    <w:p>
      <w:pPr>
        <w:spacing w:line="360" w:lineRule="auto"/>
        <w:rPr>
          <w:b/>
          <w:bCs/>
          <w:sz w:val="24"/>
          <w:szCs w:val="24"/>
        </w:rPr>
      </w:pPr>
      <w:r>
        <w:rPr>
          <w:rFonts w:hint="eastAsia"/>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时间：2023年1月</w:t>
      </w:r>
      <w:r>
        <w:rPr>
          <w:rFonts w:hint="eastAsia" w:ascii="宋体" w:hAnsi="宋体" w:eastAsia="宋体"/>
          <w:bCs/>
          <w:sz w:val="24"/>
          <w:szCs w:val="24"/>
          <w:lang w:val="en-US" w:eastAsia="zh-CN"/>
        </w:rPr>
        <w:t>20</w:t>
      </w:r>
      <w:r>
        <w:rPr>
          <w:rFonts w:hint="eastAsia" w:ascii="宋体" w:hAnsi="宋体" w:eastAsia="宋体"/>
          <w:bCs/>
          <w:sz w:val="24"/>
          <w:szCs w:val="24"/>
        </w:rPr>
        <w:t>日至2023年</w:t>
      </w:r>
      <w:r>
        <w:rPr>
          <w:rFonts w:hint="eastAsia" w:ascii="宋体" w:hAnsi="宋体" w:eastAsia="宋体"/>
          <w:bCs/>
          <w:sz w:val="24"/>
          <w:szCs w:val="24"/>
          <w:lang w:val="en-US" w:eastAsia="zh-CN"/>
        </w:rPr>
        <w:t>2</w:t>
      </w:r>
      <w:r>
        <w:rPr>
          <w:rFonts w:hint="eastAsia" w:ascii="宋体" w:hAnsi="宋体" w:eastAsia="宋体"/>
          <w:bCs/>
          <w:sz w:val="24"/>
          <w:szCs w:val="24"/>
        </w:rPr>
        <w:t>月</w:t>
      </w:r>
      <w:r>
        <w:rPr>
          <w:rFonts w:hint="eastAsia" w:ascii="宋体" w:hAnsi="宋体" w:eastAsia="宋体"/>
          <w:bCs/>
          <w:sz w:val="24"/>
          <w:szCs w:val="24"/>
          <w:lang w:val="en-US" w:eastAsia="zh-CN"/>
        </w:rPr>
        <w:t>1</w:t>
      </w:r>
      <w:r>
        <w:rPr>
          <w:rFonts w:hint="eastAsia" w:ascii="宋体" w:hAnsi="宋体" w:eastAsia="宋体"/>
          <w:bCs/>
          <w:sz w:val="24"/>
          <w:szCs w:val="24"/>
        </w:rPr>
        <w:t>日，每天上午8：30至11：30，下午13：30至17：00（北京时间，法定节假日除外）。</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地点：钟楼区玉龙南路280号常州大数据产业园2号楼19楼。</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方式：（供应商可采取以下任一种方式获取采购文件）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（2）网络领购：若无法现金交纳，请联系姚女士，电话：0519-86661066。交纳成功后，将符合要求的领购资料扫描件和报名费交纳凭证一并发送至邮箱：</w:t>
      </w:r>
      <w:r>
        <w:rPr>
          <w:rFonts w:ascii="宋体" w:hAnsi="宋体" w:eastAsia="宋体"/>
          <w:bCs/>
          <w:sz w:val="24"/>
          <w:szCs w:val="24"/>
          <w:u w:val="single"/>
        </w:rPr>
        <w:t>rhzh0603@126.com</w:t>
      </w:r>
      <w:r>
        <w:rPr>
          <w:rFonts w:hint="eastAsia" w:ascii="宋体" w:hAnsi="宋体" w:eastAsia="宋体"/>
          <w:bCs/>
          <w:sz w:val="24"/>
          <w:szCs w:val="24"/>
          <w:u w:val="single"/>
        </w:rPr>
        <w:t>。</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（3）领购时须提供以下材料：</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①《投标报名申请表》原件一份（格式见附件）；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②提供有效企业法人营业执照复印件加盖公章；</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售价：人民币壹佰元整(现金交纳或以公司指定方式支付)，采购文件售后一概不退。</w:t>
      </w:r>
    </w:p>
    <w:p>
      <w:pPr>
        <w:spacing w:line="360" w:lineRule="auto"/>
        <w:rPr>
          <w:b/>
          <w:bCs/>
          <w:color w:val="auto"/>
          <w:sz w:val="24"/>
          <w:szCs w:val="24"/>
        </w:rPr>
      </w:pPr>
      <w:bookmarkStart w:id="18" w:name="_Toc28359005"/>
      <w:bookmarkStart w:id="19" w:name="_Toc28359082"/>
      <w:bookmarkStart w:id="20" w:name="_Toc35393793"/>
      <w:bookmarkStart w:id="21" w:name="_Toc35393624"/>
      <w:r>
        <w:rPr>
          <w:rFonts w:hint="eastAsia"/>
          <w:b/>
          <w:bCs/>
          <w:color w:val="auto"/>
          <w:sz w:val="24"/>
          <w:szCs w:val="24"/>
        </w:rPr>
        <w:t>四、响应文件</w:t>
      </w:r>
      <w:bookmarkEnd w:id="18"/>
      <w:bookmarkEnd w:id="19"/>
      <w:bookmarkEnd w:id="20"/>
      <w:bookmarkEnd w:id="21"/>
      <w:r>
        <w:rPr>
          <w:rFonts w:hint="eastAsia"/>
          <w:b/>
          <w:bCs/>
          <w:color w:val="auto"/>
          <w:sz w:val="24"/>
          <w:szCs w:val="24"/>
        </w:rPr>
        <w:t>提交</w:t>
      </w:r>
    </w:p>
    <w:p>
      <w:pPr>
        <w:snapToGrid w:val="0"/>
        <w:spacing w:line="360" w:lineRule="auto"/>
        <w:ind w:firstLine="480" w:firstLineChars="200"/>
        <w:rPr>
          <w:rFonts w:ascii="黑体" w:hAnsi="黑体" w:eastAsia="黑体"/>
          <w:color w:val="auto"/>
          <w:sz w:val="24"/>
          <w:szCs w:val="24"/>
        </w:rPr>
      </w:pPr>
      <w:r>
        <w:rPr>
          <w:rFonts w:hint="eastAsia" w:ascii="宋体" w:hAnsi="宋体" w:eastAsia="宋体"/>
          <w:color w:val="auto"/>
          <w:sz w:val="24"/>
          <w:szCs w:val="24"/>
        </w:rPr>
        <w:t>截止时间：</w:t>
      </w:r>
      <w:r>
        <w:rPr>
          <w:rFonts w:ascii="宋体" w:hAnsi="宋体" w:eastAsia="宋体"/>
          <w:bCs/>
          <w:color w:val="auto"/>
          <w:sz w:val="24"/>
          <w:szCs w:val="24"/>
          <w:u w:val="single"/>
        </w:rPr>
        <w:t>20</w:t>
      </w:r>
      <w:r>
        <w:rPr>
          <w:rFonts w:hint="eastAsia" w:ascii="宋体" w:hAnsi="宋体" w:eastAsia="宋体"/>
          <w:bCs/>
          <w:color w:val="auto"/>
          <w:sz w:val="24"/>
          <w:szCs w:val="24"/>
          <w:u w:val="single"/>
        </w:rPr>
        <w:t>23</w:t>
      </w:r>
      <w:r>
        <w:rPr>
          <w:rFonts w:ascii="宋体" w:hAnsi="宋体" w:eastAsia="宋体"/>
          <w:bCs/>
          <w:color w:val="auto"/>
          <w:sz w:val="24"/>
          <w:szCs w:val="24"/>
          <w:u w:val="single"/>
        </w:rPr>
        <w:t>年</w:t>
      </w:r>
      <w:r>
        <w:rPr>
          <w:rFonts w:hint="eastAsia" w:ascii="宋体" w:hAnsi="宋体" w:eastAsia="宋体"/>
          <w:bCs/>
          <w:color w:val="auto"/>
          <w:sz w:val="24"/>
          <w:szCs w:val="24"/>
          <w:u w:val="single"/>
        </w:rPr>
        <w:t>2</w:t>
      </w:r>
      <w:r>
        <w:rPr>
          <w:rFonts w:ascii="宋体" w:hAnsi="宋体" w:eastAsia="宋体"/>
          <w:bCs/>
          <w:color w:val="auto"/>
          <w:sz w:val="24"/>
          <w:szCs w:val="24"/>
          <w:u w:val="single"/>
        </w:rPr>
        <w:t>月</w:t>
      </w:r>
      <w:r>
        <w:rPr>
          <w:rFonts w:hint="eastAsia" w:ascii="宋体" w:hAnsi="宋体" w:eastAsia="宋体"/>
          <w:bCs/>
          <w:color w:val="auto"/>
          <w:sz w:val="24"/>
          <w:szCs w:val="24"/>
          <w:u w:val="single"/>
          <w:lang w:val="en-US" w:eastAsia="zh-CN"/>
        </w:rPr>
        <w:t>7</w:t>
      </w:r>
      <w:r>
        <w:rPr>
          <w:rFonts w:ascii="宋体" w:hAnsi="宋体" w:eastAsia="宋体"/>
          <w:bCs/>
          <w:color w:val="auto"/>
          <w:sz w:val="24"/>
          <w:szCs w:val="24"/>
          <w:u w:val="single"/>
        </w:rPr>
        <w:t>日</w:t>
      </w:r>
      <w:r>
        <w:rPr>
          <w:rFonts w:hint="eastAsia" w:ascii="宋体" w:hAnsi="宋体" w:eastAsia="宋体"/>
          <w:bCs/>
          <w:color w:val="auto"/>
          <w:sz w:val="24"/>
          <w:szCs w:val="24"/>
          <w:u w:val="single"/>
        </w:rPr>
        <w:t>14</w:t>
      </w:r>
      <w:r>
        <w:rPr>
          <w:rFonts w:ascii="宋体" w:hAnsi="宋体" w:eastAsia="宋体"/>
          <w:bCs/>
          <w:color w:val="auto"/>
          <w:sz w:val="24"/>
          <w:szCs w:val="24"/>
          <w:u w:val="single"/>
        </w:rPr>
        <w:t>点</w:t>
      </w:r>
      <w:r>
        <w:rPr>
          <w:rFonts w:hint="eastAsia" w:ascii="宋体" w:hAnsi="宋体" w:eastAsia="宋体"/>
          <w:bCs/>
          <w:color w:val="auto"/>
          <w:sz w:val="24"/>
          <w:szCs w:val="24"/>
          <w:u w:val="single"/>
        </w:rPr>
        <w:t>30</w:t>
      </w:r>
      <w:r>
        <w:rPr>
          <w:rFonts w:ascii="宋体" w:hAnsi="宋体" w:eastAsia="宋体"/>
          <w:bCs/>
          <w:color w:val="auto"/>
          <w:sz w:val="24"/>
          <w:szCs w:val="24"/>
          <w:u w:val="single"/>
        </w:rPr>
        <w:t>分</w:t>
      </w:r>
      <w:r>
        <w:rPr>
          <w:rFonts w:hint="eastAsia" w:ascii="宋体" w:hAnsi="宋体" w:eastAsia="宋体"/>
          <w:bCs/>
          <w:color w:val="auto"/>
          <w:sz w:val="24"/>
          <w:szCs w:val="24"/>
        </w:rPr>
        <w:t>（北京时间）</w:t>
      </w:r>
    </w:p>
    <w:p>
      <w:pPr>
        <w:snapToGrid w:val="0"/>
        <w:spacing w:line="360" w:lineRule="auto"/>
        <w:ind w:firstLine="480" w:firstLineChars="200"/>
        <w:rPr>
          <w:rFonts w:ascii="宋体" w:hAnsi="宋体" w:eastAsia="宋体"/>
          <w:bCs/>
          <w:color w:val="auto"/>
          <w:sz w:val="24"/>
          <w:szCs w:val="24"/>
        </w:rPr>
      </w:pPr>
      <w:r>
        <w:rPr>
          <w:rFonts w:hint="eastAsia" w:ascii="宋体" w:hAnsi="宋体" w:eastAsia="宋体"/>
          <w:color w:val="auto"/>
          <w:sz w:val="24"/>
          <w:szCs w:val="24"/>
        </w:rPr>
        <w:t>地点：</w:t>
      </w:r>
      <w:r>
        <w:rPr>
          <w:rFonts w:ascii="宋体" w:hAnsi="宋体" w:eastAsia="宋体" w:cs="宋体"/>
          <w:i w:val="0"/>
          <w:iCs w:val="0"/>
          <w:caps w:val="0"/>
          <w:color w:val="auto"/>
          <w:spacing w:val="0"/>
          <w:sz w:val="24"/>
          <w:szCs w:val="24"/>
          <w:shd w:val="clear" w:fill="FFFFFF"/>
        </w:rPr>
        <w:t>钟楼区玉龙南路280号常州大数据产业园2号楼19楼常州市市场资源交易服务中心（平台）1905 开标室1</w:t>
      </w:r>
    </w:p>
    <w:p>
      <w:pPr>
        <w:spacing w:line="360" w:lineRule="auto"/>
        <w:rPr>
          <w:b/>
          <w:bCs/>
          <w:color w:val="auto"/>
          <w:sz w:val="24"/>
          <w:szCs w:val="24"/>
        </w:rPr>
      </w:pPr>
      <w:bookmarkStart w:id="22" w:name="_Toc35393786"/>
      <w:bookmarkStart w:id="23" w:name="_Toc28358998"/>
      <w:bookmarkStart w:id="24" w:name="_Toc35393617"/>
      <w:bookmarkStart w:id="25" w:name="_Toc28359075"/>
      <w:r>
        <w:rPr>
          <w:rFonts w:hint="eastAsia"/>
          <w:b/>
          <w:bCs/>
          <w:color w:val="auto"/>
          <w:sz w:val="24"/>
          <w:szCs w:val="24"/>
        </w:rPr>
        <w:t>五、开启</w:t>
      </w:r>
    </w:p>
    <w:p>
      <w:pPr>
        <w:snapToGrid w:val="0"/>
        <w:spacing w:line="360" w:lineRule="auto"/>
        <w:ind w:firstLine="480" w:firstLineChars="200"/>
        <w:rPr>
          <w:rFonts w:ascii="黑体" w:hAnsi="黑体" w:eastAsia="黑体"/>
          <w:color w:val="auto"/>
          <w:sz w:val="24"/>
          <w:szCs w:val="24"/>
        </w:rPr>
      </w:pPr>
      <w:r>
        <w:rPr>
          <w:rFonts w:hint="eastAsia" w:ascii="宋体" w:hAnsi="宋体" w:eastAsia="宋体"/>
          <w:color w:val="auto"/>
          <w:sz w:val="24"/>
          <w:szCs w:val="24"/>
        </w:rPr>
        <w:t>时间：</w:t>
      </w:r>
      <w:r>
        <w:rPr>
          <w:rFonts w:ascii="宋体" w:hAnsi="宋体" w:eastAsia="宋体"/>
          <w:bCs/>
          <w:color w:val="auto"/>
          <w:sz w:val="24"/>
          <w:szCs w:val="24"/>
          <w:u w:val="single"/>
        </w:rPr>
        <w:t>20</w:t>
      </w:r>
      <w:r>
        <w:rPr>
          <w:rFonts w:hint="eastAsia" w:ascii="宋体" w:hAnsi="宋体" w:eastAsia="宋体"/>
          <w:bCs/>
          <w:color w:val="auto"/>
          <w:sz w:val="24"/>
          <w:szCs w:val="24"/>
          <w:u w:val="single"/>
        </w:rPr>
        <w:t>23</w:t>
      </w:r>
      <w:r>
        <w:rPr>
          <w:rFonts w:ascii="宋体" w:hAnsi="宋体" w:eastAsia="宋体"/>
          <w:bCs/>
          <w:color w:val="auto"/>
          <w:sz w:val="24"/>
          <w:szCs w:val="24"/>
          <w:u w:val="single"/>
        </w:rPr>
        <w:t>年</w:t>
      </w:r>
      <w:r>
        <w:rPr>
          <w:rFonts w:hint="eastAsia" w:ascii="宋体" w:hAnsi="宋体" w:eastAsia="宋体"/>
          <w:bCs/>
          <w:color w:val="auto"/>
          <w:sz w:val="24"/>
          <w:szCs w:val="24"/>
          <w:u w:val="single"/>
        </w:rPr>
        <w:t>2</w:t>
      </w:r>
      <w:r>
        <w:rPr>
          <w:rFonts w:ascii="宋体" w:hAnsi="宋体" w:eastAsia="宋体"/>
          <w:bCs/>
          <w:color w:val="auto"/>
          <w:sz w:val="24"/>
          <w:szCs w:val="24"/>
          <w:u w:val="single"/>
        </w:rPr>
        <w:t>月</w:t>
      </w:r>
      <w:r>
        <w:rPr>
          <w:rFonts w:hint="eastAsia" w:ascii="宋体" w:hAnsi="宋体" w:eastAsia="宋体"/>
          <w:bCs/>
          <w:color w:val="auto"/>
          <w:sz w:val="24"/>
          <w:szCs w:val="24"/>
          <w:u w:val="single"/>
          <w:lang w:val="en-US" w:eastAsia="zh-CN"/>
        </w:rPr>
        <w:t>7</w:t>
      </w:r>
      <w:r>
        <w:rPr>
          <w:rFonts w:ascii="宋体" w:hAnsi="宋体" w:eastAsia="宋体"/>
          <w:bCs/>
          <w:color w:val="auto"/>
          <w:sz w:val="24"/>
          <w:szCs w:val="24"/>
          <w:u w:val="single"/>
        </w:rPr>
        <w:t>日</w:t>
      </w:r>
      <w:r>
        <w:rPr>
          <w:rFonts w:hint="eastAsia" w:ascii="宋体" w:hAnsi="宋体" w:eastAsia="宋体"/>
          <w:bCs/>
          <w:color w:val="auto"/>
          <w:sz w:val="24"/>
          <w:szCs w:val="24"/>
          <w:u w:val="single"/>
        </w:rPr>
        <w:t>14</w:t>
      </w:r>
      <w:r>
        <w:rPr>
          <w:rFonts w:ascii="宋体" w:hAnsi="宋体" w:eastAsia="宋体"/>
          <w:bCs/>
          <w:color w:val="auto"/>
          <w:sz w:val="24"/>
          <w:szCs w:val="24"/>
          <w:u w:val="single"/>
        </w:rPr>
        <w:t>点</w:t>
      </w:r>
      <w:r>
        <w:rPr>
          <w:rFonts w:hint="eastAsia" w:ascii="宋体" w:hAnsi="宋体" w:eastAsia="宋体"/>
          <w:bCs/>
          <w:color w:val="auto"/>
          <w:sz w:val="24"/>
          <w:szCs w:val="24"/>
          <w:u w:val="single"/>
        </w:rPr>
        <w:t>30</w:t>
      </w:r>
      <w:r>
        <w:rPr>
          <w:rFonts w:ascii="宋体" w:hAnsi="宋体" w:eastAsia="宋体"/>
          <w:bCs/>
          <w:color w:val="auto"/>
          <w:sz w:val="24"/>
          <w:szCs w:val="24"/>
          <w:u w:val="single"/>
        </w:rPr>
        <w:t>分</w:t>
      </w:r>
      <w:r>
        <w:rPr>
          <w:rFonts w:hint="eastAsia" w:ascii="宋体" w:hAnsi="宋体" w:eastAsia="宋体"/>
          <w:bCs/>
          <w:color w:val="auto"/>
          <w:sz w:val="24"/>
          <w:szCs w:val="24"/>
        </w:rPr>
        <w:t>（北京时间）</w:t>
      </w:r>
    </w:p>
    <w:p>
      <w:pPr>
        <w:snapToGrid w:val="0"/>
        <w:spacing w:line="360" w:lineRule="auto"/>
        <w:ind w:firstLine="480" w:firstLineChars="200"/>
        <w:rPr>
          <w:rFonts w:ascii="宋体" w:hAnsi="宋体" w:eastAsia="宋体"/>
          <w:bCs/>
          <w:color w:val="auto"/>
          <w:sz w:val="24"/>
          <w:szCs w:val="24"/>
        </w:rPr>
      </w:pPr>
      <w:r>
        <w:rPr>
          <w:rFonts w:hint="eastAsia" w:ascii="宋体" w:hAnsi="宋体" w:eastAsia="宋体"/>
          <w:color w:val="auto"/>
          <w:sz w:val="24"/>
          <w:szCs w:val="24"/>
        </w:rPr>
        <w:t>地点：</w:t>
      </w:r>
      <w:r>
        <w:rPr>
          <w:rFonts w:ascii="宋体" w:hAnsi="宋体" w:eastAsia="宋体" w:cs="宋体"/>
          <w:i w:val="0"/>
          <w:iCs w:val="0"/>
          <w:caps w:val="0"/>
          <w:color w:val="auto"/>
          <w:spacing w:val="0"/>
          <w:sz w:val="24"/>
          <w:szCs w:val="24"/>
          <w:shd w:val="clear" w:fill="FFFFFF"/>
        </w:rPr>
        <w:t>钟楼区玉龙南路280号常州大数据产业园2号楼19楼常州市市场资源交易服务中心（平台）1905 开标室1</w:t>
      </w:r>
    </w:p>
    <w:p>
      <w:pPr>
        <w:spacing w:line="360" w:lineRule="auto"/>
        <w:rPr>
          <w:b/>
          <w:bCs/>
          <w:sz w:val="24"/>
          <w:szCs w:val="24"/>
        </w:rPr>
      </w:pPr>
      <w:bookmarkStart w:id="26" w:name="_Toc28359084"/>
      <w:bookmarkStart w:id="27" w:name="_Toc35393625"/>
      <w:bookmarkStart w:id="28" w:name="_Toc28359007"/>
      <w:bookmarkStart w:id="29" w:name="_Toc35393794"/>
      <w:r>
        <w:rPr>
          <w:rFonts w:hint="eastAsia"/>
          <w:b/>
          <w:bCs/>
          <w:sz w:val="24"/>
          <w:szCs w:val="24"/>
        </w:rPr>
        <w:t>六、公告期限</w:t>
      </w:r>
      <w:bookmarkEnd w:id="26"/>
      <w:bookmarkEnd w:id="27"/>
      <w:bookmarkEnd w:id="28"/>
      <w:bookmarkEnd w:id="29"/>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自本公告发布之日起3个工作日。</w:t>
      </w:r>
    </w:p>
    <w:p>
      <w:pPr>
        <w:spacing w:line="360" w:lineRule="auto"/>
        <w:rPr>
          <w:b/>
          <w:bCs/>
          <w:sz w:val="24"/>
          <w:szCs w:val="24"/>
        </w:rPr>
      </w:pPr>
      <w:bookmarkStart w:id="30" w:name="_Toc35393795"/>
      <w:bookmarkStart w:id="31" w:name="_Toc35393626"/>
      <w:r>
        <w:rPr>
          <w:rFonts w:hint="eastAsia"/>
          <w:b/>
          <w:bCs/>
          <w:sz w:val="24"/>
          <w:szCs w:val="24"/>
        </w:rPr>
        <w:t>七、其他补充事宜</w:t>
      </w:r>
      <w:bookmarkEnd w:id="30"/>
      <w:bookmarkEnd w:id="31"/>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1.现场踏勘：供应商自行踏勘现场。</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2.有关本次采购项目的事项若存在变动或修改，采购代理机构将通过补充或更正形式在网站上发布，因未能及时了解相关最新信息所引起的投标失误责任由供应商自负。</w:t>
      </w:r>
    </w:p>
    <w:p>
      <w:pPr>
        <w:spacing w:line="360" w:lineRule="auto"/>
        <w:rPr>
          <w:b/>
          <w:bCs/>
          <w:sz w:val="24"/>
          <w:szCs w:val="24"/>
        </w:rPr>
      </w:pPr>
      <w:bookmarkStart w:id="32" w:name="_Toc35393796"/>
      <w:bookmarkStart w:id="33" w:name="_Toc28359085"/>
      <w:bookmarkStart w:id="34" w:name="_Toc28359008"/>
      <w:bookmarkStart w:id="35" w:name="_Toc35393627"/>
      <w:r>
        <w:rPr>
          <w:rFonts w:hint="eastAsia"/>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cs="宋体" w:asciiTheme="minorEastAsia" w:hAnsiTheme="minorEastAsia"/>
          <w:sz w:val="24"/>
          <w:szCs w:val="24"/>
        </w:rPr>
      </w:pPr>
      <w:bookmarkStart w:id="36" w:name="_Toc55147046"/>
      <w:r>
        <w:rPr>
          <w:rFonts w:hint="eastAsia" w:cs="宋体" w:asciiTheme="minorEastAsia" w:hAnsiTheme="minorEastAsia"/>
          <w:sz w:val="24"/>
          <w:szCs w:val="24"/>
        </w:rPr>
        <w:t>1.采购人信息</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名    称：常州市公路事业发展中心</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地    址：朱夏墅村委叶西村42号</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联系方式：梁女士</w:t>
      </w:r>
      <w:bookmarkStart w:id="37" w:name="_Toc35393618"/>
      <w:bookmarkStart w:id="38" w:name="_Toc28359076"/>
      <w:bookmarkStart w:id="39" w:name="_Toc35393787"/>
      <w:bookmarkStart w:id="40" w:name="_Toc28358999"/>
      <w:r>
        <w:rPr>
          <w:rFonts w:cs="宋体" w:asciiTheme="minorEastAsia" w:hAnsiTheme="minorEastAsia"/>
          <w:sz w:val="24"/>
          <w:szCs w:val="24"/>
        </w:rPr>
        <w:t>0519-</w:t>
      </w:r>
      <w:r>
        <w:rPr>
          <w:rFonts w:hint="eastAsia" w:cs="宋体" w:asciiTheme="minorEastAsia" w:hAnsiTheme="minorEastAsia"/>
          <w:sz w:val="24"/>
          <w:szCs w:val="24"/>
        </w:rPr>
        <w:t>81661751</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bookmarkEnd w:id="37"/>
      <w:bookmarkEnd w:id="38"/>
      <w:bookmarkEnd w:id="39"/>
      <w:bookmarkEnd w:id="40"/>
      <w:bookmarkStart w:id="41" w:name="_Toc35393619"/>
      <w:bookmarkStart w:id="42" w:name="_Toc28359077"/>
      <w:bookmarkStart w:id="43" w:name="_Toc35393788"/>
      <w:bookmarkStart w:id="44" w:name="_Toc28359000"/>
      <w:r>
        <w:rPr>
          <w:rFonts w:hint="eastAsia"/>
        </w:rPr>
        <w:t xml:space="preserve"> </w:t>
      </w:r>
      <w:r>
        <w:rPr>
          <w:rFonts w:hint="eastAsia" w:cs="宋体" w:asciiTheme="minorEastAsia" w:hAnsiTheme="minorEastAsia"/>
          <w:sz w:val="24"/>
          <w:szCs w:val="24"/>
        </w:rPr>
        <w:t>采购代理机构信息</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名  称：江苏仁禾中衡工程咨询房地产估价有限公司</w:t>
      </w:r>
    </w:p>
    <w:p>
      <w:pPr>
        <w:widowControl/>
        <w:snapToGrid w:val="0"/>
        <w:spacing w:line="360" w:lineRule="auto"/>
        <w:ind w:firstLine="480" w:firstLineChars="200"/>
        <w:jc w:val="left"/>
        <w:rPr>
          <w:rFonts w:hint="eastAsia" w:ascii="宋体" w:hAnsi="宋体" w:eastAsia="宋体"/>
          <w:bCs/>
          <w:sz w:val="24"/>
          <w:szCs w:val="24"/>
        </w:rPr>
      </w:pPr>
      <w:r>
        <w:rPr>
          <w:rFonts w:hint="eastAsia" w:cs="宋体" w:asciiTheme="minorEastAsia" w:hAnsiTheme="minorEastAsia"/>
          <w:sz w:val="24"/>
          <w:szCs w:val="24"/>
        </w:rPr>
        <w:t>地  址：</w:t>
      </w:r>
      <w:r>
        <w:rPr>
          <w:rFonts w:hint="eastAsia" w:ascii="宋体" w:hAnsi="宋体" w:eastAsia="宋体"/>
          <w:bCs/>
          <w:sz w:val="24"/>
          <w:szCs w:val="24"/>
        </w:rPr>
        <w:t>钟楼区玉龙南路280号常州大数据产业园2号楼19楼</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w:t>
      </w:r>
      <w:bookmarkEnd w:id="41"/>
      <w:bookmarkEnd w:id="42"/>
      <w:bookmarkEnd w:id="43"/>
      <w:bookmarkEnd w:id="44"/>
      <w:r>
        <w:rPr>
          <w:rFonts w:hint="eastAsia" w:cs="宋体" w:asciiTheme="minorEastAsia" w:hAnsiTheme="minorEastAsia"/>
          <w:sz w:val="24"/>
          <w:szCs w:val="24"/>
        </w:rPr>
        <w:t>0519-86661066</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3.项目联系方式</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项目联系人：刘女士</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电     话：0519-86661067</w:t>
      </w:r>
    </w:p>
    <w:p>
      <w:pPr>
        <w:widowControl/>
        <w:jc w:val="left"/>
        <w:rPr>
          <w:rFonts w:cs="宋体" w:asciiTheme="minorEastAsia" w:hAnsiTheme="minorEastAsia"/>
          <w:sz w:val="24"/>
          <w:szCs w:val="24"/>
        </w:rPr>
      </w:pPr>
    </w:p>
    <w:p>
      <w:pPr>
        <w:widowControl/>
        <w:jc w:val="left"/>
        <w:rPr>
          <w:rFonts w:ascii="黑体" w:hAnsi="黑体" w:eastAsia="黑体" w:cs="Times New Roman"/>
          <w:bCs/>
          <w:kern w:val="0"/>
          <w:sz w:val="28"/>
          <w:szCs w:val="28"/>
        </w:rPr>
      </w:pPr>
      <w:bookmarkStart w:id="45" w:name="_Toc92976616"/>
      <w:r>
        <w:br w:type="page"/>
      </w:r>
    </w:p>
    <w:p>
      <w:pPr>
        <w:pStyle w:val="121"/>
      </w:pPr>
      <w:r>
        <w:rPr>
          <w:rFonts w:hint="eastAsia"/>
        </w:rPr>
        <w:t>二．供应商须知</w:t>
      </w:r>
      <w:bookmarkEnd w:id="36"/>
      <w:bookmarkEnd w:id="45"/>
    </w:p>
    <w:p>
      <w:pPr>
        <w:spacing w:line="360" w:lineRule="auto"/>
        <w:rPr>
          <w:b/>
          <w:bCs/>
          <w:sz w:val="24"/>
          <w:szCs w:val="24"/>
        </w:rPr>
      </w:pPr>
      <w:r>
        <w:rPr>
          <w:rFonts w:hint="eastAsia"/>
          <w:b/>
          <w:bCs/>
          <w:sz w:val="24"/>
          <w:szCs w:val="24"/>
        </w:rPr>
        <w:t>一、遵循原则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spacing w:line="360" w:lineRule="auto"/>
        <w:rPr>
          <w:b/>
          <w:bCs/>
          <w:sz w:val="24"/>
          <w:szCs w:val="24"/>
        </w:rPr>
      </w:pPr>
      <w:r>
        <w:rPr>
          <w:rFonts w:hint="eastAsia"/>
          <w:b/>
          <w:bCs/>
          <w:sz w:val="24"/>
          <w:szCs w:val="24"/>
        </w:rPr>
        <w:t>二、采购文件</w:t>
      </w:r>
    </w:p>
    <w:p>
      <w:pPr>
        <w:tabs>
          <w:tab w:val="left" w:pos="-1260"/>
          <w:tab w:val="left" w:pos="525"/>
          <w:tab w:val="left" w:pos="846"/>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sz w:val="24"/>
          <w:szCs w:val="24"/>
        </w:rPr>
        <w:t>供应商应在获取采购文件及有关资料后，按要求制作</w:t>
      </w:r>
      <w:r>
        <w:rPr>
          <w:rFonts w:hint="eastAsia" w:ascii="宋体" w:hAnsi="宋体"/>
          <w:sz w:val="24"/>
        </w:rPr>
        <w:t>响应文件</w:t>
      </w:r>
      <w:r>
        <w:rPr>
          <w:rFonts w:hint="eastAsia" w:ascii="宋体" w:hAnsi="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4.采购文件仅作为本次采购报价使用。</w:t>
      </w:r>
    </w:p>
    <w:p>
      <w:pPr>
        <w:spacing w:line="360" w:lineRule="auto"/>
        <w:rPr>
          <w:b/>
          <w:bCs/>
          <w:sz w:val="24"/>
          <w:szCs w:val="24"/>
        </w:rPr>
      </w:pPr>
      <w:r>
        <w:rPr>
          <w:rFonts w:hint="eastAsia"/>
          <w:b/>
          <w:bCs/>
          <w:sz w:val="24"/>
          <w:szCs w:val="24"/>
        </w:rPr>
        <w:t>三、采购文件的解释</w:t>
      </w:r>
    </w:p>
    <w:p>
      <w:pPr>
        <w:tabs>
          <w:tab w:val="left" w:pos="945"/>
        </w:tabs>
        <w:spacing w:line="360" w:lineRule="auto"/>
        <w:ind w:left="523"/>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本文件的最终解释权归江苏仁禾中衡工程咨询房地产估价有限公司。</w:t>
      </w:r>
    </w:p>
    <w:p>
      <w:pPr>
        <w:spacing w:line="360" w:lineRule="auto"/>
        <w:rPr>
          <w:b/>
          <w:bCs/>
          <w:sz w:val="24"/>
          <w:szCs w:val="24"/>
        </w:rPr>
      </w:pPr>
      <w:r>
        <w:rPr>
          <w:rFonts w:hint="eastAsia"/>
          <w:b/>
          <w:bCs/>
          <w:sz w:val="24"/>
          <w:szCs w:val="24"/>
        </w:rPr>
        <w:t>四、采购文件的补充或修正</w:t>
      </w:r>
    </w:p>
    <w:p>
      <w:pPr>
        <w:tabs>
          <w:tab w:val="left" w:pos="525"/>
          <w:tab w:val="left" w:pos="898"/>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4.更正公告以江苏仁禾中衡工程咨询房地产估价有限公司网（</w:t>
      </w:r>
      <w:r>
        <w:rPr>
          <w:rFonts w:ascii="宋体" w:hAnsi="宋体"/>
          <w:bCs/>
          <w:color w:val="000000" w:themeColor="text1"/>
          <w:sz w:val="24"/>
          <w:szCs w:val="24"/>
          <w14:textFill>
            <w14:solidFill>
              <w14:schemeClr w14:val="tx1"/>
            </w14:solidFill>
          </w14:textFill>
        </w:rPr>
        <w:t>http：//www.jsrhzh.com/info.asp?id=1</w:t>
      </w:r>
      <w:r>
        <w:rPr>
          <w:rFonts w:hint="eastAsia" w:ascii="宋体" w:hAnsi="宋体"/>
          <w:bCs/>
          <w:color w:val="000000" w:themeColor="text1"/>
          <w:sz w:val="24"/>
          <w:szCs w:val="24"/>
          <w14:textFill>
            <w14:solidFill>
              <w14:schemeClr w14:val="tx1"/>
            </w14:solidFill>
          </w14:textFill>
        </w:rPr>
        <w:t>）所发布的为准。</w:t>
      </w:r>
    </w:p>
    <w:p>
      <w:pPr>
        <w:pStyle w:val="109"/>
        <w:numPr>
          <w:ilvl w:val="0"/>
          <w:numId w:val="2"/>
        </w:numPr>
        <w:spacing w:line="360" w:lineRule="auto"/>
        <w:ind w:firstLineChars="0"/>
        <w:rPr>
          <w:b/>
          <w:bCs/>
          <w:sz w:val="24"/>
          <w:szCs w:val="24"/>
        </w:rPr>
      </w:pPr>
      <w:r>
        <w:rPr>
          <w:rFonts w:hint="eastAsia"/>
          <w:b/>
          <w:bCs/>
          <w:sz w:val="24"/>
          <w:szCs w:val="24"/>
        </w:rPr>
        <w:t>响应文件的组成</w:t>
      </w:r>
    </w:p>
    <w:p>
      <w:pPr>
        <w:tabs>
          <w:tab w:val="left" w:pos="525"/>
          <w:tab w:val="left" w:pos="945"/>
          <w:tab w:val="left" w:pos="3255"/>
        </w:tabs>
        <w:spacing w:line="360" w:lineRule="auto"/>
        <w:ind w:left="480"/>
        <w:rPr>
          <w:rFonts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1.供应商情况说明</w:t>
      </w:r>
    </w:p>
    <w:p>
      <w:pPr>
        <w:tabs>
          <w:tab w:val="left" w:pos="525"/>
          <w:tab w:val="left" w:pos="630"/>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szCs w:val="24"/>
        </w:rPr>
        <w:t>供应商简要情况介绍，含供应商规模、银行资信、技术能力及装备水平等、人员情况。供应商自行以文字形式说明</w:t>
      </w:r>
      <w:r>
        <w:rPr>
          <w:rFonts w:hint="eastAsia" w:ascii="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2.响应函（格式见附件）</w:t>
      </w:r>
    </w:p>
    <w:p>
      <w:pPr>
        <w:tabs>
          <w:tab w:val="left" w:pos="525"/>
          <w:tab w:val="left" w:pos="945"/>
          <w:tab w:val="left" w:pos="3255"/>
        </w:tabs>
        <w:spacing w:line="360" w:lineRule="auto"/>
        <w:ind w:left="524"/>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3.资格、资信证明文件：</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（1）关于资格的声明函（</w:t>
      </w:r>
      <w:r>
        <w:rPr>
          <w:rFonts w:hint="eastAsia" w:ascii="宋体" w:hAnsi="宋体"/>
          <w:b/>
          <w:bCs/>
          <w:color w:val="000000" w:themeColor="text1"/>
          <w:sz w:val="24"/>
          <w:szCs w:val="24"/>
          <w14:textFill>
            <w14:solidFill>
              <w14:schemeClr w14:val="tx1"/>
            </w14:solidFill>
          </w14:textFill>
        </w:rPr>
        <w:t>格式见附件</w:t>
      </w:r>
      <w:r>
        <w:rPr>
          <w:rFonts w:hint="eastAsia" w:ascii="宋体" w:hAnsi="宋体"/>
          <w:bCs/>
          <w:color w:val="000000" w:themeColor="text1"/>
          <w:sz w:val="24"/>
          <w:szCs w:val="24"/>
          <w14:textFill>
            <w14:solidFill>
              <w14:schemeClr w14:val="tx1"/>
            </w14:solidFill>
          </w14:textFill>
        </w:rPr>
        <w:t>）；</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s="宋体"/>
          <w:sz w:val="24"/>
        </w:rPr>
        <w:t>（2）法定代表人资格证明书/法定代表人授权委托书（</w:t>
      </w:r>
      <w:r>
        <w:rPr>
          <w:rFonts w:hint="eastAsia" w:ascii="宋体" w:hAnsi="宋体" w:cs="宋体"/>
          <w:b/>
          <w:sz w:val="24"/>
        </w:rPr>
        <w:t>格式见附件</w:t>
      </w:r>
      <w:r>
        <w:rPr>
          <w:rFonts w:hint="eastAsia" w:ascii="宋体" w:hAnsi="宋体" w:cs="宋体"/>
          <w:sz w:val="24"/>
        </w:rPr>
        <w:t>）；</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sz w:val="24"/>
        </w:rPr>
      </w:pPr>
      <w:r>
        <w:rPr>
          <w:rFonts w:hint="eastAsia" w:ascii="宋体" w:hAnsi="宋体"/>
          <w:bCs/>
          <w:color w:val="000000" w:themeColor="text1"/>
          <w:sz w:val="24"/>
          <w:szCs w:val="24"/>
          <w14:textFill>
            <w14:solidFill>
              <w14:schemeClr w14:val="tx1"/>
            </w14:solidFill>
          </w14:textFill>
        </w:rPr>
        <w:t>（4）</w:t>
      </w:r>
      <w:r>
        <w:rPr>
          <w:rFonts w:hint="eastAsia" w:ascii="宋体" w:hAnsi="宋体"/>
          <w:sz w:val="24"/>
        </w:rPr>
        <w:t>具备履行合同所必需的设备和专业技术能力的书面声明（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rPr>
        <w:t>（5）参加政府采购活动前 3 年内在经营活动中没有重大违法记录的书面声明（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hAnsi="宋体"/>
          <w:sz w:val="24"/>
        </w:rPr>
      </w:pPr>
      <w:r>
        <w:rPr>
          <w:rFonts w:hint="eastAsia" w:ascii="宋体" w:hAnsi="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4.报价一览表（</w:t>
      </w:r>
      <w:r>
        <w:rPr>
          <w:rFonts w:hint="eastAsia" w:ascii="宋体" w:hAnsi="宋体"/>
          <w:b/>
          <w:bCs/>
          <w:color w:val="000000" w:themeColor="text1"/>
          <w:sz w:val="24"/>
          <w:szCs w:val="24"/>
          <w14:textFill>
            <w14:solidFill>
              <w14:schemeClr w14:val="tx1"/>
            </w14:solidFill>
          </w14:textFill>
        </w:rPr>
        <w:t>格式见附件</w:t>
      </w:r>
      <w:r>
        <w:rPr>
          <w:rFonts w:hint="eastAsia" w:ascii="宋体" w:hAnsi="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5.明细报价表（</w:t>
      </w:r>
      <w:r>
        <w:rPr>
          <w:rFonts w:hint="eastAsia" w:ascii="宋体" w:hAnsi="宋体"/>
          <w:b/>
          <w:bCs/>
          <w:color w:val="000000" w:themeColor="text1"/>
          <w:sz w:val="24"/>
          <w:szCs w:val="24"/>
          <w14:textFill>
            <w14:solidFill>
              <w14:schemeClr w14:val="tx1"/>
            </w14:solidFill>
          </w14:textFill>
        </w:rPr>
        <w:t>格式见附件</w:t>
      </w:r>
      <w:r>
        <w:rPr>
          <w:rFonts w:hint="eastAsia" w:ascii="宋体" w:hAnsi="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6.技术参数偏离表（</w:t>
      </w:r>
      <w:r>
        <w:rPr>
          <w:rFonts w:hint="eastAsia" w:ascii="宋体" w:hAnsi="宋体"/>
          <w:b/>
          <w:bCs/>
          <w:color w:val="000000" w:themeColor="text1"/>
          <w:sz w:val="24"/>
          <w:szCs w:val="24"/>
          <w14:textFill>
            <w14:solidFill>
              <w14:schemeClr w14:val="tx1"/>
            </w14:solidFill>
          </w14:textFill>
        </w:rPr>
        <w:t>格式见附件</w:t>
      </w:r>
      <w:r>
        <w:rPr>
          <w:rFonts w:hint="eastAsia" w:ascii="宋体" w:hAnsi="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7.评分标准中对应的其它所需证明材料（</w:t>
      </w:r>
      <w:r>
        <w:rPr>
          <w:rFonts w:hint="eastAsia" w:ascii="宋体" w:hAnsi="宋体"/>
          <w:b/>
          <w:bCs/>
          <w:color w:val="000000" w:themeColor="text1"/>
          <w:sz w:val="24"/>
          <w:szCs w:val="24"/>
          <w14:textFill>
            <w14:solidFill>
              <w14:schemeClr w14:val="tx1"/>
            </w14:solidFill>
          </w14:textFill>
        </w:rPr>
        <w:t>如有自行添加</w:t>
      </w:r>
      <w:r>
        <w:rPr>
          <w:rFonts w:hint="eastAsia" w:ascii="宋体" w:hAnsi="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8.采购文件要求供应商提供的和供应商认为与本项目有关的并可以提供的其它相关的证明材料（</w:t>
      </w:r>
      <w:r>
        <w:rPr>
          <w:rFonts w:hint="eastAsia" w:ascii="宋体" w:hAnsi="宋体"/>
          <w:b/>
          <w:bCs/>
          <w:color w:val="000000" w:themeColor="text1"/>
          <w:sz w:val="24"/>
          <w:szCs w:val="24"/>
          <w14:textFill>
            <w14:solidFill>
              <w14:schemeClr w14:val="tx1"/>
            </w14:solidFill>
          </w14:textFill>
        </w:rPr>
        <w:t>如有自拟并自行添加</w:t>
      </w:r>
      <w:r>
        <w:rPr>
          <w:rFonts w:hint="eastAsia" w:ascii="宋体" w:hAnsi="宋体"/>
          <w:bCs/>
          <w:color w:val="000000" w:themeColor="text1"/>
          <w:sz w:val="24"/>
          <w:szCs w:val="24"/>
          <w14:textFill>
            <w14:solidFill>
              <w14:schemeClr w14:val="tx1"/>
            </w14:solidFill>
          </w14:textFill>
        </w:rPr>
        <w:t>）；</w:t>
      </w:r>
    </w:p>
    <w:p>
      <w:pPr>
        <w:tabs>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上述2-6项供应商必须按要求全部提供</w:t>
      </w:r>
      <w:r>
        <w:rPr>
          <w:rFonts w:hint="eastAsia" w:ascii="宋体" w:hAnsi="宋体"/>
          <w:b/>
          <w:bCs/>
          <w:color w:val="000000" w:themeColor="text1"/>
          <w:sz w:val="24"/>
          <w:szCs w:val="24"/>
          <w14:textFill>
            <w14:solidFill>
              <w14:schemeClr w14:val="tx1"/>
            </w14:solidFill>
          </w14:textFill>
        </w:rPr>
        <w:t>（如投标人组成联合体投标，参加联合体的各方均需提供）</w:t>
      </w:r>
      <w:r>
        <w:rPr>
          <w:rFonts w:hint="eastAsia" w:ascii="宋体" w:hAnsi="宋体"/>
          <w:bCs/>
          <w:color w:val="000000" w:themeColor="text1"/>
          <w:sz w:val="24"/>
          <w:szCs w:val="24"/>
          <w14:textFill>
            <w14:solidFill>
              <w14:schemeClr w14:val="tx1"/>
            </w14:solidFill>
          </w14:textFill>
        </w:rPr>
        <w:t>，否则响应文件无效。</w:t>
      </w:r>
      <w:r>
        <w:rPr>
          <w:rFonts w:hint="eastAsia" w:ascii="Tahoma" w:hAnsi="Tahoma" w:cs="Tahoma"/>
          <w:color w:val="000000" w:themeColor="text1"/>
          <w:sz w:val="24"/>
          <w:szCs w:val="24"/>
          <w14:textFill>
            <w14:solidFill>
              <w14:schemeClr w14:val="tx1"/>
            </w14:solidFill>
          </w14:textFill>
        </w:rPr>
        <w:t>如上述资格证明文件遇年检、换证，则必须提供法定年检、换证单位出具的有效证明复印件。如上述资格证明文件第</w:t>
      </w:r>
      <w:r>
        <w:rPr>
          <w:rFonts w:hint="eastAsia" w:ascii="宋体" w:hAnsi="宋体" w:cs="Tahoma"/>
          <w:color w:val="000000" w:themeColor="text1"/>
          <w:sz w:val="24"/>
          <w:szCs w:val="24"/>
          <w14:textFill>
            <w14:solidFill>
              <w14:schemeClr w14:val="tx1"/>
            </w14:solidFill>
          </w14:textFill>
        </w:rPr>
        <w:t>（4）（5）（6）</w:t>
      </w:r>
      <w:r>
        <w:rPr>
          <w:rFonts w:hint="eastAsia" w:ascii="Tahoma" w:hAnsi="Tahoma" w:cs="Tahoma"/>
          <w:color w:val="000000" w:themeColor="text1"/>
          <w:sz w:val="24"/>
          <w:szCs w:val="24"/>
          <w14:textFill>
            <w14:solidFill>
              <w14:schemeClr w14:val="tx1"/>
            </w14:solidFill>
          </w14:textFill>
        </w:rPr>
        <w:t>三项遇有国家相关政策规定可不具备的，必须提供相关政策规定或相关单位出具的有效证明复印件。</w:t>
      </w:r>
      <w:r>
        <w:rPr>
          <w:rFonts w:hint="eastAsia" w:ascii="宋体" w:hAnsi="宋体"/>
          <w:bCs/>
          <w:color w:val="000000" w:themeColor="text1"/>
          <w:sz w:val="24"/>
          <w:szCs w:val="24"/>
          <w14:textFill>
            <w14:solidFill>
              <w14:schemeClr w14:val="tx1"/>
            </w14:solidFill>
          </w14:textFill>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b/>
          <w:bCs/>
          <w:sz w:val="24"/>
          <w:szCs w:val="24"/>
        </w:rPr>
      </w:pPr>
      <w:r>
        <w:rPr>
          <w:rFonts w:hint="eastAsia"/>
          <w:b/>
          <w:bCs/>
          <w:sz w:val="24"/>
          <w:szCs w:val="24"/>
        </w:rPr>
        <w:t>六、响应文件的制作</w:t>
      </w:r>
    </w:p>
    <w:p>
      <w:pPr>
        <w:tabs>
          <w:tab w:val="left" w:pos="525"/>
          <w:tab w:val="left" w:pos="898"/>
          <w:tab w:val="left" w:pos="945"/>
        </w:tabs>
        <w:spacing w:line="360" w:lineRule="auto"/>
        <w:ind w:firstLine="482" w:firstLineChars="200"/>
        <w:rPr>
          <w:rFonts w:ascii="宋体"/>
          <w:bCs/>
          <w:color w:val="000000" w:themeColor="text1"/>
          <w:sz w:val="24"/>
          <w:szCs w:val="24"/>
          <w14:textFill>
            <w14:solidFill>
              <w14:schemeClr w14:val="tx1"/>
            </w14:solidFill>
          </w14:textFill>
        </w:rPr>
      </w:pPr>
      <w:r>
        <w:rPr>
          <w:rFonts w:hint="eastAsia" w:ascii="宋体" w:hAnsi="宋体"/>
          <w:b/>
          <w:sz w:val="24"/>
        </w:rPr>
        <w:t>1.响应文件共一式叁份，“正本”壹份、“副本”贰份。</w:t>
      </w:r>
      <w:r>
        <w:rPr>
          <w:rFonts w:hint="eastAsia" w:ascii="宋体" w:hAnsi="宋体"/>
          <w:sz w:val="24"/>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sz w:val="24"/>
        </w:rPr>
      </w:pPr>
      <w:r>
        <w:rPr>
          <w:rFonts w:hint="eastAsia" w:ascii="宋体" w:hAnsi="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4.所有文件、往来函件均应使用简体中文（规格、型号辅助符号例外）。</w:t>
      </w:r>
    </w:p>
    <w:p>
      <w:pPr>
        <w:tabs>
          <w:tab w:val="left" w:pos="525"/>
          <w:tab w:val="left" w:pos="898"/>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rPr>
        <w:t>5.响应</w:t>
      </w:r>
      <w:r>
        <w:rPr>
          <w:rFonts w:hint="eastAsia" w:ascii="宋体" w:hAnsi="宋体"/>
          <w:bCs/>
          <w:color w:val="000000" w:themeColor="text1"/>
          <w:sz w:val="24"/>
          <w:szCs w:val="24"/>
          <w14:textFill>
            <w14:solidFill>
              <w14:schemeClr w14:val="tx1"/>
            </w14:solidFill>
          </w14:textFill>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6.如无特别说明，</w:t>
      </w:r>
      <w:r>
        <w:rPr>
          <w:rFonts w:hint="eastAsia" w:ascii="宋体" w:hAnsi="宋体"/>
          <w:bCs/>
          <w:color w:val="000000" w:themeColor="text1"/>
          <w:sz w:val="24"/>
          <w:szCs w:val="24"/>
          <w14:textFill>
            <w14:solidFill>
              <w14:schemeClr w14:val="tx1"/>
            </w14:solidFill>
          </w14:textFill>
        </w:rPr>
        <w:t>供应商报价一律以人民币为投标结算货币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tabs>
          <w:tab w:val="left" w:pos="525"/>
          <w:tab w:val="left" w:pos="898"/>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7.报价费用自理。</w:t>
      </w:r>
    </w:p>
    <w:p>
      <w:pPr>
        <w:spacing w:line="360" w:lineRule="auto"/>
        <w:rPr>
          <w:b/>
          <w:bCs/>
          <w:sz w:val="24"/>
          <w:szCs w:val="24"/>
        </w:rPr>
      </w:pPr>
      <w:r>
        <w:rPr>
          <w:rFonts w:hint="eastAsia"/>
          <w:b/>
          <w:bCs/>
          <w:sz w:val="24"/>
          <w:szCs w:val="24"/>
        </w:rPr>
        <w:t>七、无效响应文件的确认：</w:t>
      </w:r>
    </w:p>
    <w:p>
      <w:pPr>
        <w:tabs>
          <w:tab w:val="left" w:pos="945"/>
        </w:tabs>
        <w:spacing w:line="360" w:lineRule="auto"/>
        <w:ind w:firstLine="480" w:firstLineChars="200"/>
        <w:rPr>
          <w:rFonts w:ascii="宋体" w:hAnsi="宋体" w:cs="宋体"/>
          <w:sz w:val="24"/>
        </w:rPr>
      </w:pPr>
      <w:r>
        <w:rPr>
          <w:rFonts w:hint="eastAsia" w:ascii="宋体" w:hAnsi="宋体"/>
          <w:sz w:val="24"/>
        </w:rPr>
        <w:t>供应商</w:t>
      </w:r>
      <w:r>
        <w:rPr>
          <w:rFonts w:hint="eastAsia" w:ascii="宋体" w:hAnsi="宋体"/>
          <w:bCs/>
          <w:color w:val="000000" w:themeColor="text1"/>
          <w:sz w:val="24"/>
          <w:szCs w:val="24"/>
          <w14:textFill>
            <w14:solidFill>
              <w14:schemeClr w14:val="tx1"/>
            </w14:solidFill>
          </w14:textFill>
        </w:rPr>
        <w:t>有下列情况之一者，</w:t>
      </w:r>
      <w:r>
        <w:rPr>
          <w:rFonts w:hint="eastAsia" w:ascii="宋体" w:hAnsi="宋体"/>
          <w:sz w:val="24"/>
        </w:rPr>
        <w:t>响应</w:t>
      </w:r>
      <w:r>
        <w:rPr>
          <w:rFonts w:hint="eastAsia" w:ascii="宋体" w:hAnsi="宋体"/>
          <w:bCs/>
          <w:color w:val="000000" w:themeColor="text1"/>
          <w:sz w:val="24"/>
          <w:szCs w:val="24"/>
          <w14:textFill>
            <w14:solidFill>
              <w14:schemeClr w14:val="tx1"/>
            </w14:solidFill>
          </w14:textFill>
        </w:rPr>
        <w:t>文件无效：</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1.响应</w:t>
      </w:r>
      <w:r>
        <w:rPr>
          <w:rFonts w:hint="eastAsia" w:ascii="宋体" w:hAnsi="宋体" w:cs="宋体"/>
          <w:sz w:val="24"/>
        </w:rPr>
        <w:t>文件</w:t>
      </w:r>
      <w:r>
        <w:rPr>
          <w:rFonts w:hint="eastAsia" w:ascii="宋体" w:hAnsi="宋体" w:cs="宋体"/>
          <w:color w:val="000000" w:themeColor="text1"/>
          <w:sz w:val="24"/>
          <w14:textFill>
            <w14:solidFill>
              <w14:schemeClr w14:val="tx1"/>
            </w14:solidFill>
          </w14:textFill>
        </w:rPr>
        <w:t>封装</w:t>
      </w:r>
      <w:r>
        <w:rPr>
          <w:rFonts w:hint="eastAsia" w:ascii="宋体" w:hAnsi="宋体" w:cs="宋体"/>
          <w:sz w:val="24"/>
        </w:rPr>
        <w:t>未按规定标志、密封、盖章的；</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2.响应</w:t>
      </w:r>
      <w:r>
        <w:rPr>
          <w:rFonts w:hint="eastAsia" w:ascii="宋体" w:hAnsi="宋体" w:cs="宋体"/>
          <w:sz w:val="24"/>
        </w:rPr>
        <w:t>文件未加盖供应商公章的；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3.法定</w:t>
      </w:r>
      <w:r>
        <w:rPr>
          <w:rFonts w:hint="eastAsia" w:ascii="宋体" w:hAnsi="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5.被“信用中国”网站（</w:t>
      </w:r>
      <w:r>
        <w:fldChar w:fldCharType="begin"/>
      </w:r>
      <w:r>
        <w:instrText xml:space="preserve"> HYPERLINK "http://www.creditchina.gov.cn" </w:instrText>
      </w:r>
      <w:r>
        <w:fldChar w:fldCharType="separate"/>
      </w:r>
      <w:r>
        <w:rPr>
          <w:rFonts w:hint="eastAsia" w:ascii="宋体" w:hAnsi="宋体"/>
          <w:bCs/>
          <w:color w:val="000000" w:themeColor="text1"/>
          <w:sz w:val="24"/>
          <w:szCs w:val="24"/>
          <w14:textFill>
            <w14:solidFill>
              <w14:schemeClr w14:val="tx1"/>
            </w14:solidFill>
          </w14:textFill>
        </w:rPr>
        <w:t>www.creditchina.gov.cn</w:t>
      </w:r>
      <w:r>
        <w:rPr>
          <w:rFonts w:hint="eastAsia" w:ascii="宋体" w:hAnsi="宋体"/>
          <w:bCs/>
          <w:color w:val="000000" w:themeColor="text1"/>
          <w:sz w:val="24"/>
          <w:szCs w:val="24"/>
          <w14:textFill>
            <w14:solidFill>
              <w14:schemeClr w14:val="tx1"/>
            </w14:solidFill>
          </w14:textFill>
        </w:rPr>
        <w:fldChar w:fldCharType="end"/>
      </w:r>
      <w:r>
        <w:rPr>
          <w:rFonts w:hint="eastAsia" w:ascii="宋体" w:hAnsi="宋体"/>
          <w:bCs/>
          <w:color w:val="000000" w:themeColor="text1"/>
          <w:sz w:val="24"/>
          <w:szCs w:val="24"/>
          <w14:textFill>
            <w14:solidFill>
              <w14:schemeClr w14:val="tx1"/>
            </w14:solidFill>
          </w14:textFill>
        </w:rPr>
        <w:t>）、中国政府采购网(www.ccgp.gov.cn)列入失信被执行人、重大税收违法案件当事人名单、</w:t>
      </w:r>
      <w:r>
        <w:rPr>
          <w:rFonts w:hint="eastAsia" w:ascii="宋体" w:hAnsi="宋体"/>
          <w:color w:val="000000" w:themeColor="text1"/>
          <w:sz w:val="24"/>
          <w:szCs w:val="24"/>
          <w14:textFill>
            <w14:solidFill>
              <w14:schemeClr w14:val="tx1"/>
            </w14:solidFill>
          </w14:textFill>
        </w:rPr>
        <w:t>政府采购严重违法失信行为记录名单的；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sz w:val="24"/>
        </w:rPr>
        <w:t>6.响应</w:t>
      </w:r>
      <w:r>
        <w:rPr>
          <w:rFonts w:hint="eastAsia" w:ascii="宋体" w:hAnsi="宋体"/>
          <w:bCs/>
          <w:color w:val="000000" w:themeColor="text1"/>
          <w:sz w:val="24"/>
          <w:szCs w:val="24"/>
          <w14:textFill>
            <w14:solidFill>
              <w14:schemeClr w14:val="tx1"/>
            </w14:solidFill>
          </w14:textFill>
        </w:rPr>
        <w:t>文件未按采购文件规定的内容和要求填写的；</w:t>
      </w:r>
      <w:r>
        <w:rPr>
          <w:rFonts w:ascii="宋体" w:hAnsi="宋体"/>
          <w:bCs/>
          <w:color w:val="000000" w:themeColor="text1"/>
          <w:sz w:val="24"/>
          <w:szCs w:val="24"/>
          <w14:textFill>
            <w14:solidFill>
              <w14:schemeClr w14:val="tx1"/>
            </w14:solidFill>
          </w14:textFill>
        </w:rPr>
        <w:t xml:space="preserve"> </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rPr>
        <w:t>7.响应</w:t>
      </w:r>
      <w:r>
        <w:rPr>
          <w:rFonts w:hint="eastAsia" w:ascii="宋体" w:hAnsi="宋体"/>
          <w:bCs/>
          <w:color w:val="000000" w:themeColor="text1"/>
          <w:sz w:val="24"/>
          <w:szCs w:val="24"/>
          <w14:textFill>
            <w14:solidFill>
              <w14:schemeClr w14:val="tx1"/>
            </w14:solidFill>
          </w14:textFill>
        </w:rPr>
        <w:t>文件中有采购文件未允许提供的选择性内容；</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8.不同供应商委托同一单位或者个人办理报价事宜的；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9.不同供应商的单位负责人为同一人或者存在直接控股、管理关系的；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10.不同供应商的响应文件由同一单位或者同一个人编制的；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13.项目（标段）报价总价超过本项目（标段）预算或最高限价的；</w:t>
      </w:r>
    </w:p>
    <w:p>
      <w:pPr>
        <w:tabs>
          <w:tab w:val="left" w:pos="762"/>
          <w:tab w:val="left" w:pos="945"/>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14.提供虚假材料的（包括工商营业执照、财务报表、资格证明文件等）；</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15.响应文件含有采购人不能接受的附加条件的；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18.响应文件内容不全或不符合采购文件中规定的其它实质性要求的；</w:t>
      </w:r>
    </w:p>
    <w:p>
      <w:pPr>
        <w:tabs>
          <w:tab w:val="left" w:pos="762"/>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19.法律法规和采购文件规定的其它无效情形。</w:t>
      </w:r>
    </w:p>
    <w:p>
      <w:pPr>
        <w:spacing w:line="360" w:lineRule="auto"/>
        <w:rPr>
          <w:b/>
          <w:bCs/>
          <w:sz w:val="24"/>
          <w:szCs w:val="24"/>
        </w:rPr>
      </w:pPr>
      <w:r>
        <w:rPr>
          <w:rFonts w:hint="eastAsia"/>
          <w:b/>
          <w:bCs/>
          <w:sz w:val="24"/>
          <w:szCs w:val="24"/>
        </w:rPr>
        <w:t>八、磋商、评审</w:t>
      </w:r>
    </w:p>
    <w:p>
      <w:pPr>
        <w:tabs>
          <w:tab w:val="left" w:pos="630"/>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磋商、评审工作由</w:t>
      </w:r>
      <w:r>
        <w:rPr>
          <w:rFonts w:hint="eastAsia" w:ascii="宋体" w:hAnsi="宋体"/>
          <w:sz w:val="24"/>
        </w:rPr>
        <w:t>采购代理机构</w:t>
      </w:r>
      <w:r>
        <w:rPr>
          <w:rFonts w:hint="eastAsia" w:ascii="宋体" w:hAnsi="宋体"/>
          <w:bCs/>
          <w:color w:val="000000"/>
          <w:sz w:val="24"/>
          <w:szCs w:val="24"/>
        </w:rPr>
        <w:t>负责组织。</w:t>
      </w:r>
    </w:p>
    <w:p>
      <w:pPr>
        <w:tabs>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bCs/>
          <w:color w:val="000000"/>
          <w:sz w:val="24"/>
          <w:szCs w:val="24"/>
        </w:rPr>
      </w:pPr>
      <w:r>
        <w:rPr>
          <w:rFonts w:hint="eastAsia" w:ascii="宋体" w:hAnsi="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报价</w:t>
      </w:r>
      <w:r>
        <w:rPr>
          <w:rFonts w:hint="eastAsia" w:ascii="宋体" w:hAnsi="宋体"/>
          <w:bCs/>
          <w:color w:val="000000"/>
          <w:sz w:val="24"/>
          <w:szCs w:val="24"/>
        </w:rPr>
        <w:t>一览表</w:t>
      </w:r>
      <w:r>
        <w:rPr>
          <w:rFonts w:ascii="宋体" w:hAnsi="宋体"/>
          <w:bCs/>
          <w:color w:val="000000"/>
          <w:sz w:val="24"/>
          <w:szCs w:val="24"/>
        </w:rPr>
        <w:t>内容与明细表内容不一致的，以报价</w:t>
      </w:r>
      <w:r>
        <w:rPr>
          <w:rFonts w:hint="eastAsia" w:ascii="宋体" w:hAnsi="宋体"/>
          <w:bCs/>
          <w:color w:val="000000"/>
          <w:sz w:val="24"/>
          <w:szCs w:val="24"/>
        </w:rPr>
        <w:t>一览表</w:t>
      </w:r>
      <w:r>
        <w:rPr>
          <w:rFonts w:ascii="宋体" w:hAnsi="宋体"/>
          <w:bCs/>
          <w:color w:val="000000"/>
          <w:sz w:val="24"/>
          <w:szCs w:val="24"/>
        </w:rPr>
        <w:t>为准</w:t>
      </w:r>
      <w:r>
        <w:rPr>
          <w:rFonts w:hint="eastAsia" w:ascii="宋体" w:hAnsi="宋体"/>
          <w:bCs/>
          <w:color w:val="000000"/>
          <w:sz w:val="24"/>
          <w:szCs w:val="24"/>
        </w:rPr>
        <w:t>。</w:t>
      </w:r>
    </w:p>
    <w:p>
      <w:pPr>
        <w:tabs>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ascii="宋体" w:hAnsi="宋体"/>
          <w:bCs/>
          <w:color w:val="000000"/>
          <w:sz w:val="24"/>
          <w:szCs w:val="24"/>
        </w:rPr>
      </w:pPr>
      <w:r>
        <w:rPr>
          <w:rFonts w:hint="eastAsia" w:ascii="宋体" w:hAnsi="宋体"/>
          <w:bCs/>
          <w:color w:val="000000"/>
          <w:sz w:val="24"/>
          <w:szCs w:val="24"/>
        </w:rPr>
        <w:t>正本与副本不符，以正本为准。</w:t>
      </w:r>
    </w:p>
    <w:p>
      <w:pPr>
        <w:tabs>
          <w:tab w:val="left" w:pos="525"/>
          <w:tab w:val="left" w:pos="840"/>
          <w:tab w:val="left" w:pos="945"/>
        </w:tabs>
        <w:spacing w:line="360" w:lineRule="auto"/>
        <w:ind w:left="570"/>
        <w:rPr>
          <w:rFonts w:ascii="宋体" w:hAnsi="宋体"/>
          <w:bCs/>
          <w:color w:val="000000"/>
          <w:sz w:val="24"/>
          <w:szCs w:val="24"/>
        </w:rPr>
      </w:pPr>
      <w:r>
        <w:rPr>
          <w:rFonts w:hint="eastAsia" w:ascii="宋体" w:hAnsi="宋体"/>
          <w:bCs/>
          <w:color w:val="000000"/>
          <w:sz w:val="24"/>
        </w:rPr>
        <w:t>2.磋商、</w:t>
      </w:r>
      <w:r>
        <w:rPr>
          <w:rFonts w:ascii="宋体" w:hAnsi="宋体"/>
          <w:bCs/>
          <w:color w:val="000000"/>
          <w:sz w:val="24"/>
        </w:rPr>
        <w:t>评</w:t>
      </w:r>
      <w:r>
        <w:rPr>
          <w:rFonts w:hint="eastAsia" w:ascii="宋体" w:hAnsi="宋体"/>
          <w:bCs/>
          <w:color w:val="000000"/>
          <w:sz w:val="24"/>
        </w:rPr>
        <w:t>审</w:t>
      </w:r>
      <w:r>
        <w:rPr>
          <w:rFonts w:ascii="宋体" w:hAnsi="宋体"/>
          <w:bCs/>
          <w:color w:val="000000"/>
          <w:sz w:val="24"/>
        </w:rPr>
        <w:t>程序</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rPr>
        <w:t>（1）</w:t>
      </w:r>
      <w:r>
        <w:rPr>
          <w:rFonts w:ascii="宋体" w:hAnsi="宋体"/>
          <w:bCs/>
          <w:color w:val="000000"/>
          <w:sz w:val="24"/>
        </w:rPr>
        <w:t>响应文件初审。初审分为资格性审查和符合性审查</w:t>
      </w:r>
      <w:r>
        <w:rPr>
          <w:rFonts w:ascii="宋体" w:hAnsi="宋体"/>
          <w:bCs/>
          <w:color w:val="000000"/>
          <w:sz w:val="24"/>
          <w:szCs w:val="24"/>
        </w:rPr>
        <w:t>。</w:t>
      </w:r>
      <w:r>
        <w:rPr>
          <w:rFonts w:hint="eastAsia" w:ascii="宋体" w:hAnsi="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bCs/>
          <w:color w:val="000000"/>
          <w:sz w:val="24"/>
        </w:rPr>
      </w:pPr>
      <w:r>
        <w:rPr>
          <w:rFonts w:ascii="宋体" w:hAnsi="宋体"/>
          <w:bCs/>
          <w:color w:val="000000"/>
          <w:sz w:val="24"/>
        </w:rPr>
        <w:t>资格性审查。依据法律法规和采购文件的规定，对响应文件中的资格证明、</w:t>
      </w:r>
      <w:r>
        <w:rPr>
          <w:rFonts w:hint="eastAsia" w:ascii="宋体" w:hAnsi="宋体"/>
          <w:bCs/>
          <w:color w:val="000000"/>
          <w:sz w:val="24"/>
        </w:rPr>
        <w:t>投标</w:t>
      </w:r>
      <w:r>
        <w:rPr>
          <w:rFonts w:ascii="宋体" w:hAnsi="宋体"/>
          <w:bCs/>
          <w:color w:val="000000"/>
          <w:sz w:val="24"/>
        </w:rPr>
        <w:t>保证金等进行审查</w:t>
      </w:r>
      <w:r>
        <w:rPr>
          <w:rFonts w:hint="eastAsia" w:ascii="宋体" w:hAnsi="宋体"/>
          <w:bCs/>
          <w:color w:val="000000"/>
          <w:sz w:val="24"/>
        </w:rPr>
        <w:t>；</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bCs/>
          <w:color w:val="000000"/>
          <w:sz w:val="24"/>
          <w:szCs w:val="24"/>
        </w:rPr>
        <w:t>www.creditchina.gov.cn</w:t>
      </w:r>
      <w:r>
        <w:rPr>
          <w:rFonts w:hint="eastAsia" w:ascii="宋体" w:hAnsi="宋体"/>
          <w:bCs/>
          <w:color w:val="000000"/>
          <w:sz w:val="24"/>
          <w:szCs w:val="24"/>
        </w:rPr>
        <w:fldChar w:fldCharType="end"/>
      </w:r>
      <w:r>
        <w:rPr>
          <w:rFonts w:hint="eastAsia" w:ascii="宋体" w:hAnsi="宋体"/>
          <w:bCs/>
          <w:color w:val="000000"/>
          <w:sz w:val="24"/>
          <w:szCs w:val="24"/>
        </w:rPr>
        <w:t>）查询报价供应商在报价截止时间之前，是否被列入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bCs/>
          <w:color w:val="000000"/>
          <w:sz w:val="24"/>
        </w:rPr>
      </w:pPr>
      <w:r>
        <w:rPr>
          <w:rFonts w:ascii="宋体" w:hAnsi="宋体"/>
          <w:bCs/>
          <w:color w:val="000000"/>
          <w:sz w:val="24"/>
        </w:rPr>
        <w:t>符合性审查。依据采购文件的规定，从响应文件的有效性、完整性和对采购文件的响应程度进行审查，以确定是否对采购文件的实质性要求作出响应</w:t>
      </w:r>
      <w:r>
        <w:rPr>
          <w:rFonts w:hint="eastAsia" w:ascii="宋体" w:hAnsi="宋体"/>
          <w:bCs/>
          <w:color w:val="000000"/>
          <w:sz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r>
        <w:rPr>
          <w:rFonts w:hint="eastAsia" w:ascii="宋体" w:hAnsi="宋体"/>
          <w:bCs/>
          <w:color w:val="000000"/>
          <w:sz w:val="24"/>
          <w:szCs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（3）磋商小组讨论、确定磋商程序和磋商内容。</w:t>
      </w:r>
    </w:p>
    <w:p>
      <w:pPr>
        <w:tabs>
          <w:tab w:val="left" w:pos="945"/>
          <w:tab w:val="left" w:pos="1104"/>
        </w:tabs>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（5）</w:t>
      </w:r>
      <w:r>
        <w:rPr>
          <w:rFonts w:ascii="宋体" w:hAnsi="宋体"/>
          <w:bCs/>
          <w:color w:val="000000"/>
          <w:sz w:val="24"/>
          <w:szCs w:val="24"/>
        </w:rPr>
        <w:t>在磋商过程中，磋商小组可以根据采购文件和磋商情况实质性变动采购需求中的技术、服务要求以及合同草案条款，但不得变动采购文件中的其他内容。对采购文件作出的实质性变动是采购文件的有效组成部分</w:t>
      </w:r>
      <w:r>
        <w:rPr>
          <w:rFonts w:hint="eastAsia" w:ascii="宋体" w:hAnsi="宋体"/>
          <w:bCs/>
          <w:color w:val="000000"/>
          <w:sz w:val="24"/>
          <w:szCs w:val="24"/>
        </w:rPr>
        <w:t>。如有实质性变动，磋商小组将以书面形式通知所有参加磋商的供应商。</w:t>
      </w:r>
      <w:r>
        <w:rPr>
          <w:rFonts w:ascii="宋体" w:hAnsi="宋体"/>
          <w:bCs/>
          <w:color w:val="000000"/>
          <w:sz w:val="24"/>
          <w:szCs w:val="24"/>
        </w:rPr>
        <w:t>供应商应当按照采购文件的变动情况和磋商小组的要求</w:t>
      </w:r>
      <w:r>
        <w:rPr>
          <w:rFonts w:hint="eastAsia" w:ascii="宋体" w:hAnsi="宋体"/>
          <w:bCs/>
          <w:color w:val="000000"/>
          <w:sz w:val="24"/>
          <w:szCs w:val="24"/>
        </w:rPr>
        <w:t>在规定的时间内</w:t>
      </w:r>
      <w:r>
        <w:rPr>
          <w:rFonts w:ascii="宋体" w:hAnsi="宋体"/>
          <w:bCs/>
          <w:color w:val="000000"/>
          <w:sz w:val="24"/>
          <w:szCs w:val="24"/>
        </w:rPr>
        <w:t>重新提交响应文件，并由其法定代表人或授权代表签字或者加盖公章。</w:t>
      </w:r>
      <w:r>
        <w:rPr>
          <w:rFonts w:hint="eastAsia" w:ascii="宋体" w:hAnsi="宋体"/>
          <w:bCs/>
          <w:color w:val="000000"/>
          <w:sz w:val="24"/>
          <w:szCs w:val="24"/>
        </w:rPr>
        <w:t>如有负偏离，将作为无效报价。</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3.评审方法</w:t>
      </w:r>
    </w:p>
    <w:p>
      <w:pPr>
        <w:tabs>
          <w:tab w:val="left" w:pos="900"/>
        </w:tabs>
        <w:spacing w:line="360" w:lineRule="auto"/>
        <w:ind w:firstLine="477" w:firstLineChars="199"/>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w:t>
      </w:r>
      <w:r>
        <w:rPr>
          <w:rFonts w:ascii="宋体" w:hAnsi="宋体"/>
          <w:bCs/>
          <w:color w:val="000000"/>
          <w:sz w:val="24"/>
          <w:szCs w:val="24"/>
        </w:rPr>
        <w:t>得分相同</w:t>
      </w:r>
      <w:r>
        <w:rPr>
          <w:rFonts w:hint="eastAsia" w:ascii="宋体" w:hAnsi="宋体"/>
          <w:bCs/>
          <w:color w:val="000000"/>
          <w:sz w:val="24"/>
          <w:szCs w:val="24"/>
        </w:rPr>
        <w:t>的</w:t>
      </w:r>
      <w:r>
        <w:rPr>
          <w:rFonts w:ascii="宋体" w:hAnsi="宋体"/>
          <w:bCs/>
          <w:color w:val="000000"/>
          <w:sz w:val="24"/>
          <w:szCs w:val="24"/>
        </w:rPr>
        <w:t>，按</w:t>
      </w:r>
      <w:r>
        <w:rPr>
          <w:rFonts w:hint="eastAsia" w:ascii="宋体" w:hAnsi="宋体"/>
          <w:bCs/>
          <w:color w:val="000000"/>
          <w:sz w:val="24"/>
          <w:szCs w:val="24"/>
        </w:rPr>
        <w:t>最后</w:t>
      </w:r>
      <w:r>
        <w:rPr>
          <w:rFonts w:ascii="宋体" w:hAnsi="宋体"/>
          <w:bCs/>
          <w:color w:val="000000"/>
          <w:sz w:val="24"/>
          <w:szCs w:val="24"/>
        </w:rPr>
        <w:t>报价由低到高顺序排列</w:t>
      </w:r>
      <w:r>
        <w:rPr>
          <w:rFonts w:hint="eastAsia" w:ascii="宋体" w:hAnsi="宋体"/>
          <w:bCs/>
          <w:color w:val="000000"/>
          <w:sz w:val="24"/>
          <w:szCs w:val="24"/>
        </w:rPr>
        <w:t>；评审</w:t>
      </w:r>
      <w:r>
        <w:rPr>
          <w:rFonts w:ascii="宋体" w:hAnsi="宋体"/>
          <w:bCs/>
          <w:color w:val="000000"/>
          <w:sz w:val="24"/>
          <w:szCs w:val="24"/>
        </w:rPr>
        <w:t>得分且</w:t>
      </w:r>
      <w:r>
        <w:rPr>
          <w:rFonts w:hint="eastAsia" w:ascii="宋体" w:hAnsi="宋体"/>
          <w:bCs/>
          <w:color w:val="000000"/>
          <w:sz w:val="24"/>
          <w:szCs w:val="24"/>
        </w:rPr>
        <w:t>最后</w:t>
      </w:r>
      <w:r>
        <w:rPr>
          <w:rFonts w:ascii="宋体" w:hAnsi="宋体"/>
          <w:bCs/>
          <w:color w:val="000000"/>
          <w:sz w:val="24"/>
          <w:szCs w:val="24"/>
        </w:rPr>
        <w:t>报价相同</w:t>
      </w:r>
      <w:r>
        <w:rPr>
          <w:rFonts w:hint="eastAsia" w:ascii="宋体" w:hAnsi="宋体"/>
          <w:bCs/>
          <w:color w:val="000000"/>
          <w:sz w:val="24"/>
          <w:szCs w:val="24"/>
        </w:rPr>
        <w:t>的</w:t>
      </w:r>
      <w:r>
        <w:rPr>
          <w:rFonts w:ascii="宋体" w:hAnsi="宋体"/>
          <w:bCs/>
          <w:color w:val="000000"/>
          <w:sz w:val="24"/>
          <w:szCs w:val="24"/>
        </w:rPr>
        <w:t>，</w:t>
      </w:r>
      <w:r>
        <w:rPr>
          <w:rFonts w:hint="eastAsia" w:ascii="宋体" w:hAnsi="宋体"/>
          <w:bCs/>
          <w:color w:val="000000"/>
          <w:sz w:val="24"/>
          <w:szCs w:val="24"/>
        </w:rPr>
        <w:t>按</w:t>
      </w:r>
      <w:r>
        <w:rPr>
          <w:rFonts w:ascii="宋体" w:hAnsi="宋体"/>
          <w:bCs/>
          <w:color w:val="000000"/>
          <w:sz w:val="24"/>
          <w:szCs w:val="24"/>
        </w:rPr>
        <w:t>技术指标优劣顺序排列</w:t>
      </w:r>
      <w:r>
        <w:rPr>
          <w:rFonts w:hint="eastAsia" w:ascii="宋体" w:hAnsi="宋体"/>
          <w:bCs/>
          <w:color w:val="000000"/>
          <w:sz w:val="24"/>
          <w:szCs w:val="24"/>
        </w:rPr>
        <w:t>。</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4.评分标准</w:t>
      </w:r>
    </w:p>
    <w:p>
      <w:pPr>
        <w:tabs>
          <w:tab w:val="left" w:pos="945"/>
        </w:tabs>
        <w:spacing w:line="360" w:lineRule="auto"/>
        <w:ind w:firstLine="480" w:firstLineChars="200"/>
        <w:rPr>
          <w:rFonts w:ascii="宋体" w:hAnsi="宋体"/>
          <w:bCs/>
          <w:sz w:val="24"/>
        </w:rPr>
      </w:pPr>
      <w:r>
        <w:rPr>
          <w:rFonts w:hint="eastAsia" w:ascii="宋体" w:hAnsi="宋体"/>
          <w:bCs/>
          <w:sz w:val="24"/>
        </w:rPr>
        <w:t>详见第五章 评分标准。</w:t>
      </w:r>
    </w:p>
    <w:p>
      <w:pPr>
        <w:spacing w:line="360" w:lineRule="auto"/>
        <w:rPr>
          <w:b/>
          <w:bCs/>
          <w:sz w:val="24"/>
          <w:szCs w:val="24"/>
        </w:rPr>
      </w:pPr>
      <w:r>
        <w:rPr>
          <w:rFonts w:hint="eastAsia"/>
          <w:b/>
          <w:bCs/>
          <w:sz w:val="24"/>
          <w:szCs w:val="24"/>
        </w:rPr>
        <w:t>九、确定成交供应商</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2.采购代理机构将评审结果通知所有参加报价的未成交供应商，并在江苏仁禾中衡工程咨询房地产估价有限公司网（</w:t>
      </w:r>
      <w:r>
        <w:rPr>
          <w:rFonts w:ascii="宋体" w:hAnsi="宋体"/>
          <w:bCs/>
          <w:color w:val="000000"/>
          <w:sz w:val="24"/>
          <w:szCs w:val="24"/>
        </w:rPr>
        <w:t>http：//www.jsrhzh.com/info.asp?id=1</w:t>
      </w:r>
      <w:r>
        <w:rPr>
          <w:rFonts w:hint="eastAsia" w:ascii="宋体" w:hAnsi="宋体"/>
          <w:bCs/>
          <w:color w:val="000000"/>
          <w:sz w:val="24"/>
          <w:szCs w:val="24"/>
        </w:rPr>
        <w:t>）发布成交公告。采购代理机构和磋商小组对未成交原因不做解释。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sz w:val="24"/>
        </w:rPr>
        <w:t>3.采购代理机构</w:t>
      </w:r>
      <w:r>
        <w:rPr>
          <w:rFonts w:hint="eastAsia" w:ascii="宋体" w:hAnsi="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themeColor="text1"/>
          <w:sz w:val="24"/>
          <w:szCs w:val="24"/>
          <w14:textFill>
            <w14:solidFill>
              <w14:schemeClr w14:val="tx1"/>
            </w14:solidFill>
          </w14:textFill>
        </w:rPr>
        <w:t>4.报价供应商提交的纸质响应文件将作为存档依据，不予退回</w:t>
      </w:r>
      <w:r>
        <w:rPr>
          <w:rFonts w:hint="eastAsia" w:ascii="宋体" w:hAnsi="宋体"/>
          <w:bCs/>
          <w:color w:val="000000"/>
          <w:sz w:val="24"/>
          <w:szCs w:val="24"/>
        </w:rPr>
        <w:t>。</w:t>
      </w:r>
    </w:p>
    <w:p>
      <w:pPr>
        <w:spacing w:line="360" w:lineRule="auto"/>
        <w:rPr>
          <w:b/>
          <w:bCs/>
          <w:sz w:val="24"/>
          <w:szCs w:val="24"/>
        </w:rPr>
      </w:pPr>
      <w:r>
        <w:rPr>
          <w:rFonts w:hint="eastAsia"/>
          <w:b/>
          <w:bCs/>
          <w:sz w:val="24"/>
          <w:szCs w:val="24"/>
        </w:rPr>
        <w:t>十、采购终止</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因情况变化，不再符合规定的竞争性磋商采购方式适用情形的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出现影响采购公正的违法、违规行为的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3.除《</w:t>
      </w:r>
      <w:r>
        <w:rPr>
          <w:rFonts w:ascii="宋体" w:hAnsi="宋体"/>
          <w:bCs/>
          <w:color w:val="000000"/>
          <w:sz w:val="24"/>
          <w:szCs w:val="24"/>
        </w:rPr>
        <w:t>政府采购</w:t>
      </w:r>
      <w:r>
        <w:rPr>
          <w:rFonts w:hint="eastAsia" w:ascii="宋体" w:hAnsi="宋体"/>
          <w:bCs/>
          <w:color w:val="000000"/>
          <w:sz w:val="24"/>
          <w:szCs w:val="24"/>
        </w:rPr>
        <w:t>竞争性磋商</w:t>
      </w:r>
      <w:r>
        <w:rPr>
          <w:rFonts w:ascii="宋体" w:hAnsi="宋体"/>
          <w:bCs/>
          <w:color w:val="000000"/>
          <w:sz w:val="24"/>
          <w:szCs w:val="24"/>
        </w:rPr>
        <w:t>采购方式管理</w:t>
      </w:r>
      <w:r>
        <w:rPr>
          <w:rFonts w:hint="eastAsia" w:ascii="宋体" w:hAnsi="宋体"/>
          <w:bCs/>
          <w:color w:val="000000"/>
          <w:sz w:val="24"/>
          <w:szCs w:val="24"/>
        </w:rPr>
        <w:t>暂行</w:t>
      </w:r>
      <w:r>
        <w:rPr>
          <w:rFonts w:ascii="宋体" w:hAnsi="宋体"/>
          <w:bCs/>
          <w:color w:val="000000"/>
          <w:sz w:val="24"/>
          <w:szCs w:val="24"/>
        </w:rPr>
        <w:t>办法</w:t>
      </w:r>
      <w:r>
        <w:rPr>
          <w:rFonts w:hint="eastAsia" w:ascii="宋体" w:hAnsi="宋体"/>
          <w:bCs/>
          <w:color w:val="000000"/>
          <w:sz w:val="24"/>
          <w:szCs w:val="24"/>
        </w:rPr>
        <w:t>》</w:t>
      </w:r>
      <w:r>
        <w:rPr>
          <w:rFonts w:ascii="宋体" w:hAnsi="宋体"/>
          <w:bCs/>
          <w:color w:val="000000"/>
          <w:sz w:val="24"/>
          <w:szCs w:val="24"/>
        </w:rPr>
        <w:t>第二十</w:t>
      </w:r>
      <w:r>
        <w:rPr>
          <w:rFonts w:hint="eastAsia" w:ascii="宋体" w:hAnsi="宋体"/>
          <w:bCs/>
          <w:color w:val="000000"/>
          <w:sz w:val="24"/>
          <w:szCs w:val="24"/>
        </w:rPr>
        <w:t>一</w:t>
      </w:r>
      <w:r>
        <w:rPr>
          <w:rFonts w:ascii="宋体" w:hAnsi="宋体"/>
          <w:bCs/>
          <w:color w:val="000000"/>
          <w:sz w:val="24"/>
          <w:szCs w:val="24"/>
        </w:rPr>
        <w:t>条第</w:t>
      </w:r>
      <w:r>
        <w:rPr>
          <w:rFonts w:hint="eastAsia" w:ascii="宋体" w:hAnsi="宋体"/>
          <w:bCs/>
          <w:color w:val="000000"/>
          <w:sz w:val="24"/>
          <w:szCs w:val="24"/>
        </w:rPr>
        <w:t>三</w:t>
      </w:r>
      <w:r>
        <w:rPr>
          <w:rFonts w:ascii="宋体" w:hAnsi="宋体"/>
          <w:bCs/>
          <w:color w:val="000000"/>
          <w:sz w:val="24"/>
          <w:szCs w:val="24"/>
        </w:rPr>
        <w:t>款</w:t>
      </w:r>
      <w:r>
        <w:rPr>
          <w:rFonts w:hint="eastAsia" w:ascii="宋体" w:hAnsi="宋体"/>
          <w:bCs/>
          <w:color w:val="000000"/>
          <w:sz w:val="24"/>
          <w:szCs w:val="24"/>
        </w:rPr>
        <w:t>和《财政部关于政府采购竞争性磋商采购方式管理暂行办法有关问题的补充通知》</w:t>
      </w:r>
      <w:r>
        <w:rPr>
          <w:rFonts w:ascii="宋体" w:hAnsi="宋体"/>
          <w:bCs/>
          <w:color w:val="000000"/>
          <w:sz w:val="24"/>
          <w:szCs w:val="24"/>
        </w:rPr>
        <w:t>规定的情形外</w:t>
      </w:r>
      <w:r>
        <w:rPr>
          <w:rFonts w:hint="eastAsia" w:ascii="宋体" w:hAnsi="宋体"/>
          <w:bCs/>
          <w:color w:val="000000"/>
          <w:sz w:val="24"/>
          <w:szCs w:val="24"/>
        </w:rPr>
        <w:t>，</w:t>
      </w:r>
      <w:r>
        <w:rPr>
          <w:rFonts w:ascii="宋体" w:hAnsi="宋体"/>
          <w:bCs/>
          <w:color w:val="000000"/>
          <w:sz w:val="24"/>
          <w:szCs w:val="24"/>
        </w:rPr>
        <w:t>在采购过程中符合要求的供应商或者报价未超过采购预算的供应商数量不符合法律法规要求的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4.在采购活动中因重大变故，采购任务取消的。</w:t>
      </w:r>
    </w:p>
    <w:p>
      <w:pPr>
        <w:spacing w:line="360" w:lineRule="auto"/>
      </w:pPr>
      <w:r>
        <w:rPr>
          <w:rFonts w:hint="eastAsia"/>
          <w:b/>
          <w:bCs/>
          <w:sz w:val="24"/>
          <w:szCs w:val="24"/>
        </w:rPr>
        <w:t>十一、签订、履行合同</w:t>
      </w:r>
    </w:p>
    <w:p>
      <w:pPr>
        <w:tabs>
          <w:tab w:val="left" w:pos="525"/>
          <w:tab w:val="left" w:pos="552"/>
          <w:tab w:val="left" w:pos="945"/>
          <w:tab w:val="left" w:pos="1050"/>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sz w:val="24"/>
          <w:szCs w:val="24"/>
        </w:rPr>
        <w:t>1.采购人应当自成交通知书发出之日起三十日内，按照采购文件和成交供应商响应文件的约定，与成交供应商签订书面合同。所</w:t>
      </w:r>
      <w:r>
        <w:rPr>
          <w:rFonts w:hint="eastAsia" w:ascii="宋体" w:hAnsi="宋体"/>
          <w:bCs/>
          <w:color w:val="000000" w:themeColor="text1"/>
          <w:sz w:val="24"/>
          <w:szCs w:val="24"/>
          <w14:textFill>
            <w14:solidFill>
              <w14:schemeClr w14:val="tx1"/>
            </w14:solidFill>
          </w14:textFill>
        </w:rPr>
        <w:t>签订的合同不得对采购文件和</w:t>
      </w:r>
      <w:r>
        <w:rPr>
          <w:rFonts w:hint="eastAsia" w:ascii="宋体" w:hAnsi="宋体"/>
          <w:bCs/>
          <w:sz w:val="24"/>
          <w:szCs w:val="24"/>
        </w:rPr>
        <w:t>成交</w:t>
      </w:r>
      <w:r>
        <w:rPr>
          <w:rFonts w:hint="eastAsia" w:ascii="宋体" w:hAnsi="宋体"/>
          <w:bCs/>
          <w:color w:val="000000" w:themeColor="text1"/>
          <w:sz w:val="24"/>
          <w:szCs w:val="24"/>
          <w14:textFill>
            <w14:solidFill>
              <w14:schemeClr w14:val="tx1"/>
            </w14:solidFill>
          </w14:textFill>
        </w:rPr>
        <w:t>供应商响应文件作实质性修改。采购人不得向</w:t>
      </w:r>
      <w:r>
        <w:rPr>
          <w:rFonts w:hint="eastAsia" w:ascii="宋体" w:hAnsi="宋体"/>
          <w:bCs/>
          <w:sz w:val="24"/>
          <w:szCs w:val="24"/>
        </w:rPr>
        <w:t>成交</w:t>
      </w:r>
      <w:r>
        <w:rPr>
          <w:rFonts w:hint="eastAsia" w:ascii="宋体" w:hAnsi="宋体"/>
          <w:bCs/>
          <w:color w:val="000000" w:themeColor="text1"/>
          <w:sz w:val="24"/>
          <w:szCs w:val="24"/>
          <w14:textFill>
            <w14:solidFill>
              <w14:schemeClr w14:val="tx1"/>
            </w14:solidFill>
          </w14:textFill>
        </w:rPr>
        <w:t>供应商提出任何不合理的要求，作为签订合同的条件，不得与</w:t>
      </w:r>
      <w:r>
        <w:rPr>
          <w:rFonts w:hint="eastAsia" w:ascii="宋体" w:hAnsi="宋体"/>
          <w:bCs/>
          <w:sz w:val="24"/>
          <w:szCs w:val="24"/>
        </w:rPr>
        <w:t>成交</w:t>
      </w:r>
      <w:r>
        <w:rPr>
          <w:rFonts w:hint="eastAsia" w:ascii="宋体" w:hAnsi="宋体"/>
          <w:bCs/>
          <w:color w:val="000000" w:themeColor="text1"/>
          <w:sz w:val="24"/>
          <w:szCs w:val="24"/>
          <w14:textFill>
            <w14:solidFill>
              <w14:schemeClr w14:val="tx1"/>
            </w14:solidFill>
          </w14:textFill>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bCs/>
          <w:sz w:val="24"/>
          <w:szCs w:val="24"/>
        </w:rPr>
      </w:pPr>
      <w:r>
        <w:rPr>
          <w:rFonts w:hint="eastAsia" w:ascii="宋体" w:hAnsi="宋体"/>
          <w:bCs/>
          <w:sz w:val="24"/>
          <w:szCs w:val="24"/>
        </w:rPr>
        <w:t>2.成交供应商</w:t>
      </w:r>
      <w:r>
        <w:rPr>
          <w:rFonts w:hint="eastAsia" w:ascii="宋体" w:hAnsi="宋体"/>
          <w:bCs/>
          <w:color w:val="000000" w:themeColor="text1"/>
          <w:sz w:val="24"/>
          <w:szCs w:val="24"/>
          <w14:textFill>
            <w14:solidFill>
              <w14:schemeClr w14:val="tx1"/>
            </w14:solidFill>
          </w14:textFill>
        </w:rPr>
        <w:t>非因不可抗力未履行采购文件、响应文件和合同规定的义务，一经查实，</w:t>
      </w:r>
      <w:r>
        <w:rPr>
          <w:rFonts w:hint="eastAsia" w:ascii="宋体" w:hAnsi="宋体"/>
          <w:sz w:val="24"/>
        </w:rPr>
        <w:t>采购代理机构</w:t>
      </w:r>
      <w:r>
        <w:rPr>
          <w:rFonts w:hint="eastAsia" w:ascii="宋体" w:hAnsi="宋体"/>
          <w:bCs/>
          <w:color w:val="000000" w:themeColor="text1"/>
          <w:sz w:val="24"/>
          <w:szCs w:val="24"/>
          <w14:textFill>
            <w14:solidFill>
              <w14:schemeClr w14:val="tx1"/>
            </w14:solidFill>
          </w14:textFill>
        </w:rPr>
        <w:t>将根据具体情况提</w:t>
      </w:r>
      <w:r>
        <w:rPr>
          <w:rFonts w:hint="eastAsia" w:ascii="宋体" w:hAnsi="宋体"/>
          <w:bCs/>
          <w:sz w:val="24"/>
          <w:szCs w:val="24"/>
        </w:rPr>
        <w:t>请政府采购管理部门作出相应处理。</w:t>
      </w:r>
    </w:p>
    <w:p>
      <w:pPr>
        <w:spacing w:line="360" w:lineRule="auto"/>
        <w:rPr>
          <w:b/>
          <w:bCs/>
          <w:sz w:val="24"/>
          <w:szCs w:val="24"/>
        </w:rPr>
      </w:pPr>
      <w:r>
        <w:rPr>
          <w:rFonts w:hint="eastAsia"/>
          <w:b/>
          <w:bCs/>
          <w:sz w:val="24"/>
          <w:szCs w:val="24"/>
        </w:rPr>
        <w:t>十二、注意事项</w:t>
      </w:r>
    </w:p>
    <w:p>
      <w:pPr>
        <w:tabs>
          <w:tab w:val="left" w:pos="945"/>
          <w:tab w:val="left" w:pos="1050"/>
        </w:tabs>
        <w:spacing w:line="360" w:lineRule="auto"/>
        <w:ind w:firstLine="480" w:firstLineChars="200"/>
        <w:rPr>
          <w:rFonts w:ascii="宋体" w:hAnsi="宋体"/>
          <w:color w:val="000000"/>
          <w:sz w:val="24"/>
          <w:szCs w:val="24"/>
        </w:rPr>
      </w:pPr>
      <w:r>
        <w:rPr>
          <w:rFonts w:hint="eastAsia" w:ascii="宋体" w:hAnsi="宋体"/>
          <w:bCs/>
          <w:color w:val="000000"/>
          <w:sz w:val="24"/>
          <w:szCs w:val="24"/>
        </w:rPr>
        <w:t>成交供应商有下列情形之一的，</w:t>
      </w:r>
      <w:r>
        <w:rPr>
          <w:rFonts w:hint="eastAsia" w:ascii="宋体" w:hAnsi="宋体"/>
          <w:color w:val="000000"/>
          <w:sz w:val="24"/>
          <w:szCs w:val="24"/>
        </w:rPr>
        <w:t>必须</w:t>
      </w:r>
      <w:r>
        <w:rPr>
          <w:rFonts w:ascii="宋体" w:hAnsi="宋体"/>
          <w:color w:val="000000"/>
          <w:sz w:val="24"/>
          <w:szCs w:val="24"/>
        </w:rPr>
        <w:t>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成交后无正当理由不与采购人签订合同的；</w:t>
      </w:r>
    </w:p>
    <w:p>
      <w:pPr>
        <w:tabs>
          <w:tab w:val="left" w:pos="315"/>
          <w:tab w:val="left" w:pos="735"/>
          <w:tab w:val="left" w:pos="1155"/>
        </w:tabs>
        <w:spacing w:line="360" w:lineRule="auto"/>
        <w:ind w:firstLine="480" w:firstLineChars="200"/>
        <w:rPr>
          <w:rFonts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拒绝履行合同义务的。</w:t>
      </w:r>
    </w:p>
    <w:p>
      <w:pPr>
        <w:spacing w:line="360" w:lineRule="auto"/>
        <w:rPr>
          <w:b/>
          <w:bCs/>
          <w:sz w:val="24"/>
          <w:szCs w:val="24"/>
        </w:rPr>
      </w:pPr>
      <w:r>
        <w:rPr>
          <w:rFonts w:hint="eastAsia"/>
          <w:b/>
          <w:bCs/>
          <w:sz w:val="24"/>
          <w:szCs w:val="24"/>
        </w:rPr>
        <w:t>十三、成交服务费</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1、采购代理服务费收费标准为：</w:t>
      </w:r>
    </w:p>
    <w:p>
      <w:pPr>
        <w:adjustRightInd w:val="0"/>
        <w:spacing w:line="360" w:lineRule="auto"/>
        <w:ind w:firstLine="480" w:firstLineChars="200"/>
        <w:rPr>
          <w:rFonts w:ascii="宋体" w:hAnsi="宋体" w:eastAsia="宋体" w:cs="宋体"/>
          <w:sz w:val="24"/>
          <w:szCs w:val="24"/>
        </w:rPr>
      </w:pPr>
      <w:r>
        <w:rPr>
          <w:rFonts w:hint="eastAsia" w:ascii="宋体" w:hAnsi="宋体"/>
          <w:bCs/>
          <w:color w:val="000000"/>
          <w:sz w:val="24"/>
          <w:szCs w:val="24"/>
        </w:rPr>
        <w:t>（1）</w:t>
      </w:r>
      <w:r>
        <w:rPr>
          <w:rFonts w:hint="eastAsia" w:ascii="宋体" w:hAnsi="宋体" w:eastAsia="宋体" w:cs="宋体"/>
          <w:sz w:val="24"/>
          <w:szCs w:val="24"/>
        </w:rPr>
        <w:t>采购代理服务费用基数参照“苏招协[2022]002号”收费标准按差额定率累进法计算，标准如下：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w:t>
            </w:r>
          </w:p>
        </w:tc>
      </w:tr>
    </w:tbl>
    <w:p>
      <w:pPr>
        <w:spacing w:line="360" w:lineRule="auto"/>
        <w:ind w:firstLine="523" w:firstLineChars="218"/>
        <w:rPr>
          <w:rFonts w:ascii="宋体" w:hAnsi="宋体"/>
          <w:bCs/>
          <w:sz w:val="24"/>
          <w:szCs w:val="24"/>
        </w:rPr>
      </w:pPr>
      <w:r>
        <w:rPr>
          <w:rFonts w:hint="eastAsia" w:ascii="宋体" w:hAnsi="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ascii="宋体" w:hAnsi="宋体"/>
          <w:bCs/>
          <w:sz w:val="24"/>
          <w:szCs w:val="24"/>
        </w:rPr>
        <w:br w:type="page"/>
      </w:r>
    </w:p>
    <w:p>
      <w:pPr>
        <w:pStyle w:val="121"/>
        <w:rPr>
          <w:rFonts w:ascii="宋体" w:hAnsi="宋体"/>
          <w:sz w:val="24"/>
          <w:szCs w:val="24"/>
          <w:highlight w:val="none"/>
        </w:rPr>
      </w:pPr>
      <w:bookmarkStart w:id="46" w:name="_Toc55147047"/>
      <w:bookmarkStart w:id="47" w:name="_Toc92976617"/>
      <w:r>
        <w:rPr>
          <w:rFonts w:hint="eastAsia"/>
          <w:highlight w:val="none"/>
        </w:rPr>
        <w:t>三．项目技术要求和有关说明</w:t>
      </w:r>
      <w:bookmarkEnd w:id="46"/>
      <w:bookmarkEnd w:id="47"/>
    </w:p>
    <w:p>
      <w:pPr>
        <w:tabs>
          <w:tab w:val="left" w:pos="525"/>
          <w:tab w:val="left" w:pos="552"/>
          <w:tab w:val="left" w:pos="945"/>
          <w:tab w:val="left" w:pos="1050"/>
        </w:tabs>
        <w:spacing w:line="360" w:lineRule="auto"/>
        <w:rPr>
          <w:rFonts w:ascii="宋体" w:hAnsi="宋体"/>
          <w:bCs/>
          <w:sz w:val="24"/>
          <w:szCs w:val="24"/>
          <w:highlight w:val="none"/>
        </w:rPr>
      </w:pPr>
      <w:bookmarkStart w:id="48" w:name="_Toc55147048"/>
      <w:bookmarkStart w:id="49" w:name="_Toc63173552"/>
      <w:bookmarkStart w:id="50" w:name="_Toc92976618"/>
      <w:bookmarkStart w:id="51" w:name="_Toc55147050"/>
      <w:r>
        <w:rPr>
          <w:rFonts w:ascii="宋体" w:hAnsi="宋体"/>
          <w:bCs/>
          <w:sz w:val="24"/>
          <w:szCs w:val="24"/>
          <w:highlight w:val="none"/>
        </w:rPr>
        <w:t>一、项目概况</w:t>
      </w:r>
    </w:p>
    <w:p>
      <w:pPr>
        <w:tabs>
          <w:tab w:val="left" w:pos="525"/>
          <w:tab w:val="left" w:pos="552"/>
          <w:tab w:val="left" w:pos="945"/>
          <w:tab w:val="left" w:pos="1050"/>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腾龙大道智慧快速路二期工程、中吴大道西延智慧快速路工程、机场路快速化改造收尾工程最高投标限价（含工程量清单）编制。</w:t>
      </w:r>
    </w:p>
    <w:p>
      <w:pPr>
        <w:spacing w:line="360" w:lineRule="auto"/>
        <w:rPr>
          <w:rFonts w:asciiTheme="minorEastAsia" w:hAnsiTheme="minorEastAsia"/>
          <w:sz w:val="24"/>
          <w:szCs w:val="24"/>
          <w:highlight w:val="none"/>
        </w:rPr>
      </w:pPr>
      <w:r>
        <w:rPr>
          <w:rFonts w:hint="eastAsia" w:ascii="宋体" w:hAnsi="宋体"/>
          <w:bCs/>
          <w:sz w:val="24"/>
          <w:szCs w:val="24"/>
          <w:highlight w:val="none"/>
        </w:rPr>
        <w:t>二、</w:t>
      </w:r>
      <w:r>
        <w:rPr>
          <w:rFonts w:hint="eastAsia" w:asciiTheme="minorEastAsia" w:hAnsiTheme="minorEastAsia"/>
          <w:sz w:val="24"/>
          <w:szCs w:val="24"/>
          <w:highlight w:val="none"/>
        </w:rPr>
        <w:t>适用规范标准</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苏建价协</w:t>
      </w:r>
      <w:r>
        <w:rPr>
          <w:rFonts w:hint="eastAsia" w:asciiTheme="minorEastAsia" w:hAnsiTheme="minorEastAsia"/>
          <w:sz w:val="24"/>
          <w:szCs w:val="24"/>
          <w:highlight w:val="none"/>
        </w:rPr>
        <w:t>（2022）7号 江苏省工程造价管理协会关于印发《江苏省工程造价咨询服务收费指导意见》的通知</w:t>
      </w:r>
    </w:p>
    <w:p>
      <w:pPr>
        <w:tabs>
          <w:tab w:val="left" w:pos="525"/>
          <w:tab w:val="left" w:pos="552"/>
          <w:tab w:val="left" w:pos="945"/>
          <w:tab w:val="left" w:pos="1050"/>
        </w:tabs>
        <w:spacing w:line="360" w:lineRule="auto"/>
        <w:rPr>
          <w:rFonts w:ascii="宋体" w:hAnsi="宋体"/>
          <w:bCs/>
          <w:sz w:val="24"/>
          <w:szCs w:val="24"/>
          <w:highlight w:val="none"/>
        </w:rPr>
      </w:pPr>
      <w:r>
        <w:rPr>
          <w:rFonts w:hint="eastAsia" w:ascii="宋体" w:hAnsi="宋体"/>
          <w:bCs/>
          <w:sz w:val="24"/>
          <w:szCs w:val="24"/>
          <w:highlight w:val="none"/>
        </w:rPr>
        <w:t>三、报价说明</w:t>
      </w:r>
    </w:p>
    <w:p>
      <w:pPr>
        <w:tabs>
          <w:tab w:val="left" w:pos="525"/>
          <w:tab w:val="left" w:pos="552"/>
          <w:tab w:val="left" w:pos="945"/>
          <w:tab w:val="left" w:pos="1050"/>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cs="宋体"/>
          <w:kern w:val="0"/>
          <w:sz w:val="24"/>
          <w:highlight w:val="none"/>
        </w:rPr>
        <w:t>本项目按固定折扣报价，最高折扣为0.800，精确到小数点后两位</w:t>
      </w:r>
      <w:r>
        <w:rPr>
          <w:rFonts w:hint="eastAsia" w:ascii="宋体" w:hAnsi="宋体"/>
          <w:bCs/>
          <w:sz w:val="24"/>
          <w:szCs w:val="24"/>
          <w:highlight w:val="none"/>
        </w:rPr>
        <w:t>。</w:t>
      </w:r>
    </w:p>
    <w:p>
      <w:pPr>
        <w:tabs>
          <w:tab w:val="left" w:pos="525"/>
          <w:tab w:val="left" w:pos="552"/>
          <w:tab w:val="left" w:pos="945"/>
          <w:tab w:val="left" w:pos="1050"/>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（2）标段</w:t>
      </w:r>
      <w:r>
        <w:rPr>
          <w:rFonts w:hint="eastAsia" w:ascii="宋体" w:hAnsi="宋体" w:cs="宋体"/>
          <w:kern w:val="0"/>
          <w:sz w:val="24"/>
          <w:highlight w:val="none"/>
        </w:rPr>
        <w:t>造价咨询服务费=按“苏建价协（2022）7号”收费标准按差额定率累进法计算的金额×下表中对应的系数×中标折扣（最高不超过45万元，最低5000元）</w:t>
      </w:r>
    </w:p>
    <w:tbl>
      <w:tblPr>
        <w:tblStyle w:val="32"/>
        <w:tblW w:w="918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541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4"/>
                <w:szCs w:val="24"/>
                <w:highlight w:val="none"/>
              </w:rPr>
            </w:pPr>
            <w:r>
              <w:rPr>
                <w:rFonts w:hint="eastAsia"/>
                <w:b/>
                <w:sz w:val="24"/>
                <w:highlight w:val="none"/>
              </w:rPr>
              <w:t>序号</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4"/>
                <w:szCs w:val="24"/>
                <w:highlight w:val="none"/>
              </w:rPr>
            </w:pPr>
            <w:r>
              <w:rPr>
                <w:rFonts w:hint="eastAsia"/>
                <w:b/>
                <w:sz w:val="24"/>
                <w:highlight w:val="none"/>
              </w:rPr>
              <w:t>标段控制价上限</w:t>
            </w: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4"/>
                <w:szCs w:val="24"/>
                <w:highlight w:val="none"/>
              </w:rPr>
            </w:pPr>
            <w:r>
              <w:rPr>
                <w:rFonts w:hint="eastAsia"/>
                <w:b/>
                <w:sz w:val="24"/>
                <w:highlight w:val="none"/>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1</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0-5000万元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2</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5000万元-1亿元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3</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1亿元-2亿元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4</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2亿元-3亿元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5</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≥3亿元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highlight w:val="none"/>
              </w:rPr>
            </w:pPr>
            <w:r>
              <w:rPr>
                <w:rFonts w:hint="eastAsia" w:asciiTheme="majorEastAsia" w:hAnsiTheme="majorEastAsia" w:eastAsiaTheme="majorEastAsia"/>
                <w:sz w:val="24"/>
                <w:highlight w:val="none"/>
              </w:rPr>
              <w:t>0.35</w:t>
            </w:r>
          </w:p>
        </w:tc>
      </w:tr>
    </w:tbl>
    <w:p>
      <w:pPr>
        <w:tabs>
          <w:tab w:val="left" w:pos="525"/>
          <w:tab w:val="left" w:pos="552"/>
          <w:tab w:val="left" w:pos="945"/>
          <w:tab w:val="left" w:pos="1050"/>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（3）供应商根据竞争性磋商文件的要求报价，并填写报价书，计量单位应采用中华人民共和国法定计量单位。</w:t>
      </w:r>
    </w:p>
    <w:p>
      <w:pPr>
        <w:tabs>
          <w:tab w:val="left" w:pos="525"/>
          <w:tab w:val="left" w:pos="552"/>
          <w:tab w:val="left" w:pos="945"/>
          <w:tab w:val="left" w:pos="1050"/>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（4）供应商的投标报价费用应包括本项目设计所需的劳务费、咨询费、审查费、会务费、出版费、管理费、利润以及税金等完成本项目全过程的一切费用，以及后期服务的费用。</w:t>
      </w:r>
    </w:p>
    <w:p>
      <w:pPr>
        <w:tabs>
          <w:tab w:val="left" w:pos="525"/>
          <w:tab w:val="left" w:pos="552"/>
          <w:tab w:val="left" w:pos="945"/>
          <w:tab w:val="left" w:pos="1050"/>
        </w:tabs>
        <w:spacing w:line="360" w:lineRule="auto"/>
        <w:rPr>
          <w:rFonts w:ascii="宋体" w:hAnsi="宋体"/>
          <w:bCs/>
          <w:sz w:val="24"/>
          <w:szCs w:val="24"/>
          <w:highlight w:val="none"/>
        </w:rPr>
      </w:pPr>
      <w:r>
        <w:rPr>
          <w:rFonts w:hint="eastAsia" w:ascii="宋体" w:hAnsi="宋体"/>
          <w:bCs/>
          <w:sz w:val="24"/>
          <w:szCs w:val="24"/>
          <w:highlight w:val="none"/>
        </w:rPr>
        <w:t>四、合同履行期限</w:t>
      </w:r>
    </w:p>
    <w:p>
      <w:pPr>
        <w:tabs>
          <w:tab w:val="left" w:pos="525"/>
          <w:tab w:val="left" w:pos="552"/>
          <w:tab w:val="left" w:pos="945"/>
          <w:tab w:val="left" w:pos="1050"/>
        </w:tabs>
        <w:spacing w:line="360" w:lineRule="auto"/>
        <w:ind w:firstLine="488" w:firstLineChars="200"/>
        <w:rPr>
          <w:rFonts w:ascii="宋体" w:hAnsi="宋体" w:cs="宋体"/>
          <w:spacing w:val="2"/>
          <w:sz w:val="24"/>
          <w:highlight w:val="none"/>
        </w:rPr>
      </w:pPr>
      <w:r>
        <w:rPr>
          <w:rFonts w:hint="eastAsia" w:ascii="宋体" w:hAnsi="宋体" w:cs="宋体"/>
          <w:spacing w:val="2"/>
          <w:sz w:val="24"/>
          <w:highlight w:val="none"/>
        </w:rPr>
        <w:t>满足项目招标进度需求。</w:t>
      </w:r>
    </w:p>
    <w:p>
      <w:pPr>
        <w:tabs>
          <w:tab w:val="left" w:pos="525"/>
          <w:tab w:val="left" w:pos="552"/>
          <w:tab w:val="left" w:pos="945"/>
          <w:tab w:val="left" w:pos="1050"/>
        </w:tabs>
        <w:spacing w:line="360" w:lineRule="auto"/>
        <w:rPr>
          <w:rFonts w:ascii="宋体" w:hAnsi="宋体"/>
          <w:bCs/>
          <w:sz w:val="24"/>
          <w:szCs w:val="24"/>
          <w:highlight w:val="none"/>
        </w:rPr>
      </w:pPr>
      <w:r>
        <w:rPr>
          <w:rFonts w:hint="eastAsia" w:ascii="宋体" w:hAnsi="宋体"/>
          <w:bCs/>
          <w:sz w:val="24"/>
          <w:szCs w:val="24"/>
          <w:highlight w:val="none"/>
        </w:rPr>
        <w:t>五、付款方式</w:t>
      </w:r>
    </w:p>
    <w:p>
      <w:pPr>
        <w:tabs>
          <w:tab w:val="left" w:pos="525"/>
          <w:tab w:val="left" w:pos="552"/>
          <w:tab w:val="left" w:pos="945"/>
          <w:tab w:val="left" w:pos="1050"/>
        </w:tabs>
        <w:spacing w:line="360" w:lineRule="auto"/>
        <w:ind w:firstLine="488" w:firstLineChars="200"/>
        <w:rPr>
          <w:rFonts w:ascii="黑体" w:hAnsi="黑体" w:eastAsia="黑体" w:cs="Times New Roman"/>
          <w:bCs/>
          <w:kern w:val="0"/>
          <w:sz w:val="28"/>
          <w:szCs w:val="24"/>
          <w:highlight w:val="none"/>
        </w:rPr>
      </w:pPr>
      <w:r>
        <w:rPr>
          <w:rFonts w:hint="eastAsia" w:ascii="宋体" w:hAnsi="宋体" w:cs="宋体"/>
          <w:spacing w:val="2"/>
          <w:sz w:val="24"/>
          <w:highlight w:val="none"/>
        </w:rPr>
        <w:t>造价咨询服务费由所编制标段的中标人在领取中标通知书时一次性支付。</w:t>
      </w:r>
    </w:p>
    <w:p>
      <w:pPr>
        <w:pStyle w:val="118"/>
        <w:bidi w:val="0"/>
      </w:pPr>
    </w:p>
    <w:p>
      <w:pPr>
        <w:rPr>
          <w:rFonts w:hint="eastAsia"/>
          <w:bCs w:val="0"/>
        </w:rPr>
      </w:pPr>
      <w:r>
        <w:rPr>
          <w:rFonts w:hint="eastAsia"/>
          <w:bCs w:val="0"/>
        </w:rPr>
        <w:br w:type="page"/>
      </w:r>
    </w:p>
    <w:p>
      <w:pPr>
        <w:pStyle w:val="121"/>
        <w:rPr>
          <w:bCs w:val="0"/>
        </w:rPr>
      </w:pPr>
      <w:r>
        <w:rPr>
          <w:rFonts w:hint="eastAsia"/>
          <w:bCs w:val="0"/>
        </w:rPr>
        <w:t>四．</w:t>
      </w:r>
      <w:bookmarkEnd w:id="48"/>
      <w:r>
        <w:rPr>
          <w:rFonts w:hint="eastAsia"/>
          <w:bCs w:val="0"/>
        </w:rPr>
        <w:t>合同条款及格式</w:t>
      </w:r>
      <w:bookmarkEnd w:id="49"/>
      <w:bookmarkEnd w:id="50"/>
    </w:p>
    <w:p/>
    <w:p>
      <w:pPr>
        <w:keepNext/>
        <w:keepLines/>
        <w:snapToGrid w:val="0"/>
        <w:spacing w:line="360" w:lineRule="auto"/>
        <w:jc w:val="center"/>
        <w:rPr>
          <w:rFonts w:ascii="宋体" w:hAnsi="宋体"/>
          <w:b/>
          <w:color w:val="000000"/>
          <w:sz w:val="30"/>
          <w:szCs w:val="30"/>
        </w:rPr>
      </w:pPr>
      <w:r>
        <w:rPr>
          <w:rFonts w:hint="eastAsia" w:ascii="宋体" w:hAnsi="宋体"/>
          <w:b/>
          <w:color w:val="000000"/>
          <w:sz w:val="30"/>
          <w:szCs w:val="30"/>
        </w:rPr>
        <w:t>第一部分  建设工程造价咨询协议书</w:t>
      </w:r>
    </w:p>
    <w:p>
      <w:pPr>
        <w:snapToGrid w:val="0"/>
        <w:spacing w:line="360" w:lineRule="auto"/>
        <w:ind w:firstLine="480" w:firstLineChars="200"/>
        <w:rPr>
          <w:rFonts w:ascii="宋体" w:hAnsi="宋体" w:cs="宋体"/>
          <w:kern w:val="0"/>
          <w:sz w:val="24"/>
          <w:szCs w:val="20"/>
        </w:rPr>
      </w:pPr>
      <w:r>
        <w:rPr>
          <w:rFonts w:hint="eastAsia" w:ascii="宋体" w:hAnsi="宋体"/>
          <w:color w:val="000000"/>
          <w:sz w:val="24"/>
          <w:szCs w:val="20"/>
        </w:rPr>
        <w:t>委托人：</w:t>
      </w:r>
      <w:r>
        <w:rPr>
          <w:rFonts w:hint="eastAsia" w:ascii="宋体" w:hAnsi="宋体"/>
          <w:bCs/>
          <w:color w:val="000000"/>
          <w:sz w:val="24"/>
          <w:szCs w:val="20"/>
          <w:u w:val="single"/>
        </w:rPr>
        <w:t>常州市公路事业发展中心</w:t>
      </w:r>
    </w:p>
    <w:p>
      <w:pPr>
        <w:snapToGrid w:val="0"/>
        <w:spacing w:line="360" w:lineRule="auto"/>
        <w:ind w:firstLine="480" w:firstLineChars="200"/>
        <w:rPr>
          <w:rFonts w:ascii="宋体" w:hAnsi="宋体" w:cs="Times New Roman"/>
          <w:color w:val="000000"/>
          <w:sz w:val="24"/>
          <w:szCs w:val="20"/>
          <w:u w:val="single"/>
        </w:rPr>
      </w:pPr>
      <w:r>
        <w:rPr>
          <w:rFonts w:hint="eastAsia" w:ascii="宋体" w:hAnsi="宋体"/>
          <w:color w:val="000000"/>
          <w:sz w:val="24"/>
          <w:szCs w:val="20"/>
        </w:rPr>
        <w:t>咨询人：</w:t>
      </w:r>
      <w:r>
        <w:rPr>
          <w:rFonts w:hint="eastAsia" w:ascii="宋体" w:hAnsi="宋体"/>
          <w:bCs/>
          <w:color w:val="000000"/>
          <w:sz w:val="24"/>
          <w:szCs w:val="20"/>
          <w:u w:val="single"/>
        </w:rPr>
        <w:t xml:space="preserve">                     </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依据《中华人民共和国民法典》及工程造价相关管理规定，经过公开招投标确定中标单位，并经双方协商一致，签订本工程造价咨询合同。</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rPr>
        <w:t>一、</w:t>
      </w:r>
      <w:r>
        <w:rPr>
          <w:rFonts w:hint="eastAsia" w:ascii="宋体" w:hAnsi="宋体"/>
          <w:color w:val="000000"/>
          <w:sz w:val="24"/>
          <w:szCs w:val="20"/>
        </w:rPr>
        <w:t>委托人委托咨询人为以下项目提供建设工程造价咨询服务：</w:t>
      </w:r>
    </w:p>
    <w:p>
      <w:pPr>
        <w:snapToGrid w:val="0"/>
        <w:spacing w:line="360" w:lineRule="auto"/>
        <w:ind w:firstLine="480" w:firstLineChars="200"/>
        <w:rPr>
          <w:rFonts w:ascii="宋体" w:hAnsi="宋体"/>
          <w:color w:val="000000"/>
          <w:sz w:val="24"/>
          <w:szCs w:val="20"/>
          <w:u w:val="single"/>
        </w:rPr>
      </w:pPr>
      <w:r>
        <w:rPr>
          <w:rFonts w:hint="eastAsia" w:ascii="宋体" w:hAnsi="宋体"/>
          <w:color w:val="000000"/>
          <w:sz w:val="24"/>
          <w:szCs w:val="20"/>
        </w:rPr>
        <w:t>1、项目名称：</w:t>
      </w:r>
      <w:r>
        <w:rPr>
          <w:rFonts w:hint="eastAsia" w:ascii="宋体" w:hAnsi="宋体"/>
          <w:color w:val="000000"/>
          <w:sz w:val="24"/>
          <w:szCs w:val="20"/>
          <w:u w:val="single"/>
        </w:rPr>
        <w:t xml:space="preserve"> </w:t>
      </w:r>
      <w:r>
        <w:rPr>
          <w:rFonts w:hint="eastAsia" w:ascii="宋体" w:hAnsi="宋体"/>
          <w:bCs/>
          <w:color w:val="000000"/>
          <w:sz w:val="24"/>
          <w:szCs w:val="20"/>
          <w:u w:val="single"/>
        </w:rPr>
        <w:t>腾龙大道智慧快速路二期工程、中吴大道西延智慧快速路工程、机场路快速化改造收尾工程</w:t>
      </w:r>
      <w:r>
        <w:rPr>
          <w:rFonts w:hint="eastAsia" w:ascii="宋体" w:hAnsi="宋体"/>
          <w:color w:val="000000"/>
          <w:sz w:val="24"/>
          <w:szCs w:val="20"/>
          <w:u w:val="single"/>
        </w:rPr>
        <w:t xml:space="preserve">   </w:t>
      </w:r>
      <w:r>
        <w:rPr>
          <w:rFonts w:hint="eastAsia" w:ascii="宋体" w:hAnsi="宋体"/>
          <w:color w:val="000000"/>
          <w:sz w:val="24"/>
          <w:szCs w:val="20"/>
        </w:rPr>
        <w:t>；</w:t>
      </w:r>
    </w:p>
    <w:p>
      <w:pPr>
        <w:snapToGrid w:val="0"/>
        <w:spacing w:line="360" w:lineRule="auto"/>
        <w:ind w:firstLine="480" w:firstLineChars="200"/>
        <w:rPr>
          <w:rFonts w:ascii="宋体" w:hAnsi="宋体"/>
          <w:color w:val="000000"/>
          <w:sz w:val="24"/>
          <w:szCs w:val="20"/>
          <w:u w:val="single"/>
        </w:rPr>
      </w:pPr>
      <w:r>
        <w:rPr>
          <w:rFonts w:hint="eastAsia" w:ascii="宋体" w:hAnsi="宋体"/>
          <w:color w:val="000000"/>
          <w:sz w:val="24"/>
          <w:szCs w:val="20"/>
        </w:rPr>
        <w:t>2、建设地点：</w:t>
      </w:r>
      <w:r>
        <w:rPr>
          <w:rFonts w:hint="eastAsia" w:ascii="宋体" w:hAnsi="宋体"/>
          <w:color w:val="000000"/>
          <w:sz w:val="24"/>
          <w:szCs w:val="20"/>
          <w:u w:val="single"/>
        </w:rPr>
        <w:t xml:space="preserve">  江苏常州  </w:t>
      </w:r>
      <w:r>
        <w:rPr>
          <w:rFonts w:hint="eastAsia" w:ascii="宋体" w:hAnsi="宋体"/>
          <w:color w:val="000000"/>
          <w:sz w:val="24"/>
          <w:szCs w:val="20"/>
        </w:rPr>
        <w:t>；</w:t>
      </w:r>
    </w:p>
    <w:p>
      <w:pPr>
        <w:snapToGrid w:val="0"/>
        <w:spacing w:line="360" w:lineRule="auto"/>
        <w:ind w:firstLine="480" w:firstLineChars="200"/>
        <w:rPr>
          <w:rFonts w:ascii="宋体" w:hAnsi="宋体"/>
          <w:color w:val="000000"/>
          <w:sz w:val="24"/>
          <w:szCs w:val="20"/>
          <w:u w:val="single"/>
        </w:rPr>
      </w:pPr>
      <w:r>
        <w:rPr>
          <w:rFonts w:hint="eastAsia" w:ascii="宋体" w:hAnsi="宋体"/>
          <w:color w:val="000000"/>
          <w:sz w:val="24"/>
          <w:szCs w:val="20"/>
        </w:rPr>
        <w:t>3、资金来源：</w:t>
      </w:r>
      <w:r>
        <w:rPr>
          <w:rFonts w:hint="eastAsia" w:ascii="宋体" w:hAnsi="宋体"/>
          <w:color w:val="000000"/>
          <w:sz w:val="24"/>
          <w:szCs w:val="20"/>
          <w:u w:val="single"/>
        </w:rPr>
        <w:t xml:space="preserve">  财政资金  </w:t>
      </w:r>
      <w:r>
        <w:rPr>
          <w:rFonts w:hint="eastAsia" w:ascii="宋体" w:hAnsi="宋体"/>
          <w:color w:val="000000"/>
          <w:sz w:val="24"/>
          <w:szCs w:val="20"/>
        </w:rPr>
        <w:t>；</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4、工程用途：</w:t>
      </w:r>
      <w:r>
        <w:rPr>
          <w:rFonts w:hint="eastAsia" w:ascii="宋体" w:hAnsi="宋体"/>
          <w:color w:val="000000"/>
          <w:sz w:val="24"/>
          <w:szCs w:val="20"/>
          <w:u w:val="single"/>
        </w:rPr>
        <w:t xml:space="preserve">    /   </w:t>
      </w:r>
      <w:r>
        <w:rPr>
          <w:rFonts w:hint="eastAsia" w:ascii="宋体" w:hAnsi="宋体"/>
          <w:color w:val="000000"/>
          <w:sz w:val="24"/>
          <w:szCs w:val="20"/>
        </w:rPr>
        <w:t>；</w:t>
      </w:r>
    </w:p>
    <w:p>
      <w:pPr>
        <w:snapToGrid w:val="0"/>
        <w:spacing w:line="360" w:lineRule="auto"/>
        <w:ind w:firstLine="480" w:firstLineChars="200"/>
        <w:rPr>
          <w:rFonts w:ascii="宋体" w:hAnsi="宋体"/>
          <w:color w:val="000000"/>
          <w:sz w:val="24"/>
          <w:szCs w:val="20"/>
          <w:u w:val="single"/>
        </w:rPr>
      </w:pPr>
      <w:r>
        <w:rPr>
          <w:rFonts w:hint="eastAsia" w:ascii="宋体" w:hAnsi="宋体"/>
          <w:color w:val="000000"/>
          <w:sz w:val="24"/>
          <w:szCs w:val="20"/>
        </w:rPr>
        <w:t>5、项目规模：总投资额</w:t>
      </w:r>
      <w:r>
        <w:rPr>
          <w:rFonts w:hint="eastAsia" w:ascii="宋体" w:hAnsi="宋体"/>
          <w:color w:val="000000"/>
          <w:sz w:val="24"/>
          <w:szCs w:val="20"/>
          <w:u w:val="single"/>
        </w:rPr>
        <w:t xml:space="preserve">  / </w:t>
      </w:r>
      <w:r>
        <w:rPr>
          <w:rFonts w:hint="eastAsia" w:ascii="宋体" w:hAnsi="宋体"/>
          <w:color w:val="000000"/>
          <w:sz w:val="24"/>
          <w:szCs w:val="20"/>
        </w:rPr>
        <w:t>亿元，全长</w:t>
      </w:r>
      <w:r>
        <w:rPr>
          <w:rFonts w:hint="eastAsia" w:ascii="宋体" w:hAnsi="宋体"/>
          <w:color w:val="000000"/>
          <w:sz w:val="24"/>
          <w:szCs w:val="20"/>
          <w:u w:val="single"/>
        </w:rPr>
        <w:t xml:space="preserve"> /  </w:t>
      </w:r>
      <w:r>
        <w:rPr>
          <w:rFonts w:hint="eastAsia" w:ascii="宋体" w:hAnsi="宋体"/>
          <w:color w:val="000000"/>
          <w:sz w:val="24"/>
          <w:szCs w:val="20"/>
        </w:rPr>
        <w:t>km。</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6、咨询业务范围及内容：</w:t>
      </w:r>
      <w:r>
        <w:rPr>
          <w:rFonts w:hint="eastAsia" w:ascii="宋体" w:hAnsi="宋体"/>
          <w:color w:val="000000"/>
          <w:sz w:val="24"/>
          <w:szCs w:val="20"/>
          <w:u w:val="single"/>
        </w:rPr>
        <w:t xml:space="preserve">  工程量清单及招标控制价编制  </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二、本协议书的措词和用语与所属建设工程造价咨询合同通用条款赋予的定义相同。</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三、本合同的组成部分及解释顺序为：</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1、建设工程造价咨询协议书；</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2、建设工程造价咨询合同专用条款；</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3、建设工程造价咨询合同通用条款；</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4、建设工程造价咨询合同履行中共同签署的补充文件；</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5、通过招标方式获得咨询业务的，还包括下列资料：</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（1）采购文件；</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（2）投标书及其附件；</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（3）中标通知书。</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四、咨询人同意按照本合同的约定，承担本合同专用条款中约定范围内的建设工程造价咨询业务。</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五、委托人同意按照专用条款中约定的期限、方式、币种和额度向咨询人支付酬金。</w:t>
      </w:r>
    </w:p>
    <w:p>
      <w:pPr>
        <w:snapToGrid w:val="0"/>
        <w:spacing w:line="360" w:lineRule="auto"/>
        <w:ind w:firstLine="480" w:firstLineChars="200"/>
        <w:rPr>
          <w:rFonts w:ascii="宋体" w:hAnsi="宋体"/>
          <w:bCs/>
          <w:sz w:val="24"/>
          <w:szCs w:val="24"/>
        </w:rPr>
      </w:pPr>
      <w:r>
        <w:rPr>
          <w:rFonts w:hint="eastAsia" w:ascii="宋体" w:hAnsi="宋体"/>
          <w:color w:val="000000"/>
          <w:sz w:val="24"/>
          <w:szCs w:val="20"/>
        </w:rPr>
        <w:t>1、标段</w:t>
      </w:r>
      <w:r>
        <w:rPr>
          <w:rFonts w:hint="eastAsia" w:ascii="宋体" w:hAnsi="宋体" w:cs="宋体"/>
          <w:kern w:val="0"/>
          <w:sz w:val="24"/>
        </w:rPr>
        <w:t>造价咨询服务费=按“苏建价协（2022）7号”收费标准按差额定率累进法计算的金额×下表中对应的系数×中标折扣</w:t>
      </w:r>
      <w:r>
        <w:rPr>
          <w:rFonts w:hint="eastAsia" w:ascii="宋体" w:hAnsi="宋体"/>
          <w:color w:val="000000"/>
          <w:sz w:val="24"/>
          <w:szCs w:val="20"/>
          <w:u w:val="single"/>
        </w:rPr>
        <w:t xml:space="preserve">       </w:t>
      </w:r>
      <w:r>
        <w:rPr>
          <w:rFonts w:hint="eastAsia" w:ascii="宋体" w:hAnsi="宋体"/>
          <w:color w:val="000000"/>
          <w:sz w:val="24"/>
          <w:szCs w:val="20"/>
        </w:rPr>
        <w:t>。</w:t>
      </w:r>
      <w:r>
        <w:rPr>
          <w:rFonts w:hint="eastAsia" w:ascii="宋体" w:hAnsi="宋体" w:cs="宋体"/>
          <w:kern w:val="0"/>
          <w:sz w:val="24"/>
        </w:rPr>
        <w:t>（最高不超过45万元，最低5000元）</w:t>
      </w:r>
    </w:p>
    <w:tbl>
      <w:tblPr>
        <w:tblStyle w:val="32"/>
        <w:tblW w:w="918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541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sz w:val="24"/>
                <w:szCs w:val="24"/>
              </w:rPr>
            </w:pPr>
            <w:r>
              <w:rPr>
                <w:rFonts w:hint="eastAsia"/>
                <w:sz w:val="24"/>
              </w:rPr>
              <w:t>序号</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sz w:val="24"/>
                <w:szCs w:val="24"/>
              </w:rPr>
            </w:pPr>
            <w:r>
              <w:rPr>
                <w:rFonts w:hint="eastAsia"/>
                <w:sz w:val="24"/>
              </w:rPr>
              <w:t>标段控制价上限</w:t>
            </w: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sz w:val="24"/>
                <w:szCs w:val="24"/>
              </w:rPr>
            </w:pPr>
            <w:r>
              <w:rPr>
                <w:rFonts w:hint="eastAsia"/>
                <w:sz w:val="24"/>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1</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0-5000万元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2</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5000万元-1亿元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3</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1亿元-2亿元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4</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2亿元-3亿元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5</w:t>
            </w:r>
          </w:p>
        </w:tc>
        <w:tc>
          <w:tcPr>
            <w:tcW w:w="5413" w:type="dxa"/>
            <w:tcBorders>
              <w:top w:val="single" w:color="auto" w:sz="4" w:space="0"/>
              <w:left w:val="single" w:color="auto" w:sz="4" w:space="0"/>
              <w:bottom w:val="single" w:color="auto" w:sz="4" w:space="0"/>
              <w:right w:val="single" w:color="auto" w:sz="4" w:space="0"/>
            </w:tcBorders>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≥3亿元</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rPr>
              <w:t>0.35</w:t>
            </w:r>
          </w:p>
        </w:tc>
      </w:tr>
    </w:tbl>
    <w:p>
      <w:pPr>
        <w:snapToGrid w:val="0"/>
        <w:spacing w:line="360" w:lineRule="auto"/>
        <w:ind w:firstLine="480" w:firstLineChars="200"/>
        <w:rPr>
          <w:rFonts w:ascii="宋体" w:hAnsi="宋体"/>
          <w:color w:val="000000"/>
          <w:sz w:val="24"/>
          <w:szCs w:val="20"/>
        </w:rPr>
      </w:pPr>
      <w:r>
        <w:rPr>
          <w:rFonts w:hint="eastAsia" w:ascii="宋体" w:hAnsi="宋体" w:cs="宋体"/>
          <w:kern w:val="0"/>
          <w:sz w:val="24"/>
        </w:rPr>
        <w:t>2</w:t>
      </w:r>
      <w:r>
        <w:rPr>
          <w:rFonts w:hint="eastAsia" w:ascii="宋体" w:hAnsi="宋体"/>
          <w:color w:val="000000"/>
          <w:sz w:val="24"/>
          <w:szCs w:val="20"/>
        </w:rPr>
        <w:t>、正常酬金支付方式：造价咨询服务费由所编制标段的中标人在领取中标通知书时一次性支付。</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六、本合同的建设工程造价咨询服务时间与项目同步。</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七、本合同一式六份，委托人</w:t>
      </w:r>
      <w:r>
        <w:rPr>
          <w:rFonts w:hint="eastAsia" w:ascii="宋体" w:hAnsi="宋体"/>
          <w:b/>
          <w:color w:val="000000"/>
          <w:sz w:val="24"/>
          <w:szCs w:val="20"/>
          <w:u w:val="single"/>
        </w:rPr>
        <w:t xml:space="preserve"> 三</w:t>
      </w:r>
      <w:r>
        <w:rPr>
          <w:rFonts w:hint="eastAsia" w:ascii="宋体" w:hAnsi="宋体"/>
          <w:color w:val="000000"/>
          <w:sz w:val="24"/>
          <w:szCs w:val="20"/>
          <w:u w:val="single"/>
        </w:rPr>
        <w:t xml:space="preserve"> </w:t>
      </w:r>
      <w:r>
        <w:rPr>
          <w:rFonts w:hint="eastAsia" w:ascii="宋体" w:hAnsi="宋体"/>
          <w:color w:val="000000"/>
          <w:sz w:val="24"/>
          <w:szCs w:val="20"/>
        </w:rPr>
        <w:t>份，咨询人</w:t>
      </w:r>
      <w:r>
        <w:rPr>
          <w:rFonts w:hint="eastAsia" w:ascii="宋体" w:hAnsi="宋体"/>
          <w:color w:val="000000"/>
          <w:sz w:val="24"/>
          <w:szCs w:val="20"/>
          <w:u w:val="single"/>
        </w:rPr>
        <w:t xml:space="preserve"> 三 </w:t>
      </w:r>
      <w:r>
        <w:rPr>
          <w:rFonts w:hint="eastAsia" w:ascii="宋体" w:hAnsi="宋体"/>
          <w:color w:val="000000"/>
          <w:sz w:val="24"/>
          <w:szCs w:val="20"/>
        </w:rPr>
        <w:t>份。</w:t>
      </w:r>
    </w:p>
    <w:p>
      <w:pPr>
        <w:snapToGrid w:val="0"/>
        <w:spacing w:line="360" w:lineRule="auto"/>
        <w:rPr>
          <w:rFonts w:ascii="宋体" w:hAnsi="宋体"/>
          <w:color w:val="000000"/>
          <w:sz w:val="24"/>
          <w:szCs w:val="20"/>
        </w:rPr>
      </w:pPr>
    </w:p>
    <w:p>
      <w:pPr>
        <w:snapToGrid w:val="0"/>
        <w:spacing w:line="360" w:lineRule="auto"/>
        <w:rPr>
          <w:rFonts w:ascii="宋体" w:hAnsi="宋体"/>
          <w:color w:val="000000"/>
          <w:spacing w:val="-16"/>
          <w:sz w:val="24"/>
          <w:szCs w:val="20"/>
        </w:rPr>
      </w:pPr>
      <w:r>
        <w:rPr>
          <w:rFonts w:hint="eastAsia" w:ascii="宋体" w:hAnsi="宋体"/>
          <w:color w:val="000000"/>
          <w:spacing w:val="-16"/>
          <w:sz w:val="24"/>
          <w:szCs w:val="20"/>
        </w:rPr>
        <w:t>委托人：</w:t>
      </w:r>
      <w:r>
        <w:rPr>
          <w:rFonts w:hint="eastAsia" w:ascii="宋体" w:hAnsi="宋体"/>
          <w:color w:val="000000"/>
          <w:spacing w:val="-16"/>
          <w:sz w:val="24"/>
          <w:szCs w:val="20"/>
          <w:u w:val="single"/>
        </w:rPr>
        <w:t>常州市公路事业发展中心</w:t>
      </w:r>
      <w:r>
        <w:rPr>
          <w:rFonts w:hint="eastAsia" w:ascii="宋体" w:hAnsi="宋体"/>
          <w:color w:val="000000"/>
          <w:spacing w:val="-16"/>
          <w:sz w:val="24"/>
          <w:szCs w:val="20"/>
        </w:rPr>
        <w:t>(盖章)          咨询人：</w:t>
      </w:r>
      <w:r>
        <w:rPr>
          <w:rFonts w:hint="eastAsia" w:ascii="宋体" w:hAnsi="宋体"/>
          <w:color w:val="000000"/>
          <w:spacing w:val="-16"/>
          <w:sz w:val="24"/>
          <w:szCs w:val="20"/>
          <w:u w:val="single"/>
        </w:rPr>
        <w:t xml:space="preserve">                      (</w:t>
      </w:r>
      <w:r>
        <w:rPr>
          <w:rFonts w:hint="eastAsia" w:ascii="宋体" w:hAnsi="宋体"/>
          <w:color w:val="000000"/>
          <w:spacing w:val="-16"/>
          <w:sz w:val="24"/>
          <w:szCs w:val="20"/>
        </w:rPr>
        <w:t>盖章)</w:t>
      </w:r>
    </w:p>
    <w:p>
      <w:pPr>
        <w:snapToGrid w:val="0"/>
        <w:spacing w:line="360" w:lineRule="auto"/>
        <w:rPr>
          <w:rFonts w:ascii="宋体" w:hAnsi="宋体"/>
          <w:color w:val="000000"/>
          <w:sz w:val="24"/>
          <w:szCs w:val="20"/>
        </w:rPr>
      </w:pPr>
      <w:r>
        <w:rPr>
          <w:rFonts w:hint="eastAsia" w:ascii="宋体" w:hAnsi="宋体"/>
          <w:color w:val="000000"/>
          <w:sz w:val="24"/>
          <w:szCs w:val="20"/>
        </w:rPr>
        <w:t>法定代表人或                           法定代表人或</w:t>
      </w:r>
    </w:p>
    <w:p>
      <w:pPr>
        <w:snapToGrid w:val="0"/>
        <w:spacing w:line="360" w:lineRule="auto"/>
        <w:rPr>
          <w:rFonts w:ascii="宋体" w:hAnsi="宋体"/>
          <w:color w:val="000000"/>
          <w:sz w:val="24"/>
          <w:szCs w:val="20"/>
        </w:rPr>
      </w:pPr>
      <w:r>
        <w:rPr>
          <w:rFonts w:hint="eastAsia" w:ascii="宋体" w:hAnsi="宋体"/>
          <w:color w:val="000000"/>
          <w:sz w:val="24"/>
          <w:szCs w:val="20"/>
        </w:rPr>
        <w:t>委托代理人：（签章）                    委托代理人：（签章）</w:t>
      </w:r>
    </w:p>
    <w:p>
      <w:pPr>
        <w:snapToGrid w:val="0"/>
        <w:spacing w:line="360" w:lineRule="auto"/>
        <w:rPr>
          <w:rFonts w:ascii="宋体" w:hAnsi="宋体"/>
          <w:b/>
          <w:color w:val="000000"/>
          <w:szCs w:val="20"/>
        </w:rPr>
      </w:pPr>
      <w:r>
        <w:rPr>
          <w:rFonts w:hint="eastAsia" w:ascii="宋体" w:hAnsi="宋体"/>
          <w:color w:val="000000"/>
          <w:sz w:val="24"/>
          <w:szCs w:val="20"/>
        </w:rPr>
        <w:t>住所：                                 住所：</w:t>
      </w:r>
      <w:r>
        <w:rPr>
          <w:rFonts w:hint="eastAsia" w:ascii="宋体" w:hAnsi="宋体"/>
          <w:color w:val="000000"/>
          <w:spacing w:val="-10"/>
          <w:sz w:val="24"/>
          <w:szCs w:val="20"/>
        </w:rPr>
        <w:t xml:space="preserve"> </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开户银行：                             开户银行： </w:t>
      </w:r>
    </w:p>
    <w:p>
      <w:pPr>
        <w:snapToGrid w:val="0"/>
        <w:spacing w:line="360" w:lineRule="auto"/>
        <w:rPr>
          <w:rFonts w:ascii="宋体" w:hAnsi="宋体"/>
          <w:color w:val="333333"/>
          <w:sz w:val="24"/>
          <w:szCs w:val="20"/>
        </w:rPr>
      </w:pPr>
      <w:r>
        <w:rPr>
          <w:rFonts w:hint="eastAsia" w:ascii="宋体" w:hAnsi="宋体"/>
          <w:color w:val="000000"/>
          <w:sz w:val="24"/>
          <w:szCs w:val="20"/>
        </w:rPr>
        <w:t>帐    号：                             帐    号：</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电    话：                             电    话： </w:t>
      </w:r>
    </w:p>
    <w:p>
      <w:pPr>
        <w:snapToGrid w:val="0"/>
        <w:spacing w:line="360" w:lineRule="auto"/>
        <w:rPr>
          <w:rFonts w:ascii="宋体" w:hAnsi="宋体"/>
          <w:color w:val="000000"/>
          <w:sz w:val="24"/>
          <w:szCs w:val="20"/>
        </w:rPr>
      </w:pPr>
      <w:r>
        <w:rPr>
          <w:rFonts w:hint="eastAsia" w:ascii="宋体" w:hAnsi="宋体"/>
          <w:color w:val="000000"/>
          <w:sz w:val="24"/>
          <w:szCs w:val="20"/>
        </w:rPr>
        <w:t>传    真：                             传    真：</w:t>
      </w:r>
    </w:p>
    <w:p>
      <w:pPr>
        <w:snapToGrid w:val="0"/>
        <w:spacing w:line="360" w:lineRule="auto"/>
        <w:rPr>
          <w:rFonts w:ascii="宋体" w:hAnsi="宋体"/>
          <w:color w:val="000000"/>
          <w:sz w:val="24"/>
          <w:szCs w:val="20"/>
        </w:rPr>
      </w:pPr>
      <w:r>
        <w:rPr>
          <w:rFonts w:hint="eastAsia" w:ascii="宋体" w:hAnsi="宋体"/>
          <w:color w:val="000000"/>
          <w:sz w:val="24"/>
          <w:szCs w:val="20"/>
        </w:rPr>
        <w:t>电子邮箱：                             电子邮箱：</w:t>
      </w:r>
    </w:p>
    <w:p>
      <w:pPr>
        <w:snapToGrid w:val="0"/>
        <w:spacing w:line="360" w:lineRule="auto"/>
        <w:rPr>
          <w:rFonts w:ascii="宋体" w:hAnsi="宋体"/>
          <w:color w:val="000000"/>
          <w:sz w:val="24"/>
          <w:szCs w:val="20"/>
        </w:rPr>
      </w:pPr>
      <w:r>
        <w:rPr>
          <w:rFonts w:hint="eastAsia" w:ascii="宋体" w:hAnsi="宋体"/>
          <w:color w:val="000000"/>
          <w:sz w:val="24"/>
          <w:szCs w:val="20"/>
        </w:rPr>
        <w:t>邮政编码：                             邮政编码：</w:t>
      </w:r>
    </w:p>
    <w:p>
      <w:pPr>
        <w:snapToGrid w:val="0"/>
        <w:spacing w:line="360" w:lineRule="auto"/>
        <w:ind w:firstLine="480" w:firstLineChars="200"/>
        <w:jc w:val="left"/>
        <w:rPr>
          <w:rFonts w:ascii="宋体" w:hAnsi="宋体"/>
          <w:color w:val="000000"/>
          <w:sz w:val="24"/>
          <w:szCs w:val="20"/>
        </w:rPr>
      </w:pPr>
      <w:r>
        <w:rPr>
          <w:rFonts w:hint="eastAsia" w:ascii="宋体" w:hAnsi="宋体"/>
          <w:color w:val="000000"/>
          <w:sz w:val="24"/>
          <w:szCs w:val="20"/>
        </w:rPr>
        <w:t xml:space="preserve">                                                           年    月    日</w:t>
      </w:r>
    </w:p>
    <w:p>
      <w:pPr>
        <w:snapToGrid w:val="0"/>
        <w:spacing w:line="360" w:lineRule="auto"/>
        <w:rPr>
          <w:rFonts w:ascii="宋体" w:hAnsi="宋体"/>
          <w:color w:val="000000"/>
          <w:sz w:val="24"/>
          <w:szCs w:val="20"/>
        </w:rPr>
      </w:pPr>
    </w:p>
    <w:p>
      <w:pPr>
        <w:snapToGrid w:val="0"/>
        <w:spacing w:line="360" w:lineRule="auto"/>
        <w:jc w:val="center"/>
        <w:rPr>
          <w:rFonts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第二部分  建设工程造价咨询合同通用条款</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词语定义、适用语言和法律、法规</w:t>
      </w:r>
    </w:p>
    <w:p>
      <w:pPr>
        <w:snapToGrid w:val="0"/>
        <w:spacing w:line="360" w:lineRule="auto"/>
        <w:rPr>
          <w:rFonts w:ascii="宋体" w:hAnsi="宋体"/>
          <w:color w:val="000000"/>
          <w:sz w:val="24"/>
          <w:szCs w:val="20"/>
        </w:rPr>
      </w:pPr>
      <w:r>
        <w:rPr>
          <w:rFonts w:hint="eastAsia" w:ascii="宋体" w:hAnsi="宋体"/>
          <w:b/>
          <w:color w:val="000000"/>
          <w:szCs w:val="20"/>
        </w:rPr>
        <w:t xml:space="preserve">  </w:t>
      </w:r>
      <w:r>
        <w:rPr>
          <w:rFonts w:hint="eastAsia" w:ascii="宋体" w:hAnsi="宋体"/>
          <w:b/>
          <w:color w:val="000000"/>
          <w:sz w:val="24"/>
          <w:szCs w:val="20"/>
        </w:rPr>
        <w:t xml:space="preserve">  第一条</w:t>
      </w:r>
      <w:r>
        <w:rPr>
          <w:rFonts w:hint="eastAsia" w:ascii="宋体" w:hAnsi="宋体"/>
          <w:color w:val="000000"/>
          <w:sz w:val="24"/>
          <w:szCs w:val="20"/>
        </w:rPr>
        <w:t xml:space="preserve">  下列名词和用语，除上下文另有规定外具有如下含义。</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1、“委托人”是指在建设工程造价咨询协议书上指明并与咨询人在该协议书上签字、盖章的当事人。</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2、“咨询人”是指具有《工程造价咨询企业资质证书》,在建设工程造价咨询协议书上指明并与委托人在该协议书上签字、盖章的当事人。</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3、“第三人”是指除委托人、咨询人以外与本咨询业务有关的当事人。</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4、“日”是指任何一个午夜至下一个午夜的时间段。</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5、“正常服务”是指双方在专用条款中约定的工程造价咨询工作；</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6、“附加服务”是指在“正常服务”以外，经双方书面协议确定的附加服务；</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7、“额外服务”是指不属于“正常服务”和“附加服务”，咨询人增加的额外工作量。</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第二条</w:t>
      </w:r>
      <w:r>
        <w:rPr>
          <w:rFonts w:hint="eastAsia" w:ascii="宋体" w:hAnsi="宋体"/>
          <w:color w:val="000000"/>
          <w:sz w:val="24"/>
          <w:szCs w:val="20"/>
        </w:rPr>
        <w:t xml:space="preserve">  建设工程造价咨询合同适用的</w:t>
      </w:r>
      <w:r>
        <w:rPr>
          <w:rFonts w:hint="eastAsia" w:ascii="宋体" w:hAnsi="宋体"/>
          <w:sz w:val="24"/>
          <w:szCs w:val="20"/>
        </w:rPr>
        <w:t>法律、法规</w:t>
      </w:r>
      <w:r>
        <w:rPr>
          <w:rFonts w:hint="eastAsia" w:ascii="宋体" w:hAnsi="宋体"/>
          <w:color w:val="000000"/>
          <w:sz w:val="24"/>
          <w:szCs w:val="20"/>
        </w:rPr>
        <w:t>是中华人民共和国的法律、法规，以及专用条款中约定的部门规章、工程造价有关计价办法、规定，及项目所在地的地方法规、地方规章。</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 xml:space="preserve">  第三条</w:t>
      </w:r>
      <w:r>
        <w:rPr>
          <w:rFonts w:hint="eastAsia" w:ascii="宋体" w:hAnsi="宋体"/>
          <w:color w:val="000000"/>
          <w:sz w:val="24"/>
          <w:szCs w:val="20"/>
        </w:rPr>
        <w:t xml:space="preserve">  建设工程造价咨询合同的书写、解释和说明，以汉语为主导语言。当不同语言文本发生不同解释时，以汉语合同文本为准。</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咨询人的义务</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第四条</w:t>
      </w:r>
      <w:r>
        <w:rPr>
          <w:rFonts w:hint="eastAsia" w:ascii="宋体" w:hAnsi="宋体"/>
          <w:color w:val="000000"/>
          <w:sz w:val="24"/>
          <w:szCs w:val="20"/>
        </w:rPr>
        <w:t xml:space="preserve">  向委托人提供与工程造价咨询业务有关的资料，包括工程造价咨询企业资质证书及承担本合同咨询业务的专业人员名单、咨询工作计划等。</w:t>
      </w:r>
    </w:p>
    <w:p>
      <w:pPr>
        <w:snapToGrid w:val="0"/>
        <w:spacing w:line="360" w:lineRule="auto"/>
        <w:rPr>
          <w:rFonts w:ascii="宋体" w:hAnsi="宋体"/>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第五条</w:t>
      </w:r>
      <w:r>
        <w:rPr>
          <w:rFonts w:hint="eastAsia" w:ascii="宋体" w:hAnsi="宋体"/>
          <w:color w:val="000000"/>
          <w:sz w:val="24"/>
          <w:szCs w:val="20"/>
        </w:rPr>
        <w:t xml:space="preserve">  咨询人按专用条款中约定的工作范围和内容，向委托人提供工程造价咨询专业服务，包括正常服务、附加服务和额外服务。并在合同约定的时间内，提供符合行业管理规定的咨询成果文件。</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第六条</w:t>
      </w:r>
      <w:r>
        <w:rPr>
          <w:rFonts w:hint="eastAsia" w:ascii="宋体" w:hAnsi="宋体"/>
          <w:color w:val="000000"/>
          <w:sz w:val="24"/>
          <w:szCs w:val="20"/>
        </w:rPr>
        <w:t xml:space="preserve">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第七条</w:t>
      </w:r>
      <w:r>
        <w:rPr>
          <w:rFonts w:hint="eastAsia" w:ascii="宋体" w:hAnsi="宋体"/>
          <w:color w:val="000000"/>
          <w:sz w:val="24"/>
          <w:szCs w:val="20"/>
        </w:rPr>
        <w:t xml:space="preserve">  咨询人不得泄露与本合同规定业务活动有关的保密资料。</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委托人的义务</w:t>
      </w:r>
    </w:p>
    <w:p>
      <w:pPr>
        <w:snapToGrid w:val="0"/>
        <w:spacing w:line="360" w:lineRule="auto"/>
        <w:rPr>
          <w:rFonts w:ascii="宋体" w:hAnsi="宋体"/>
          <w:b/>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第八条</w:t>
      </w:r>
      <w:r>
        <w:rPr>
          <w:rFonts w:hint="eastAsia" w:ascii="宋体" w:hAnsi="宋体"/>
          <w:color w:val="000000"/>
          <w:sz w:val="24"/>
          <w:szCs w:val="20"/>
        </w:rPr>
        <w:t xml:space="preserve">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第九条</w:t>
      </w:r>
      <w:r>
        <w:rPr>
          <w:rFonts w:hint="eastAsia" w:ascii="宋体" w:hAnsi="宋体"/>
          <w:color w:val="000000"/>
          <w:sz w:val="24"/>
          <w:szCs w:val="20"/>
        </w:rPr>
        <w:t xml:space="preserve">  委托人在约定的时间内，免费向咨询人提供与本项目咨询业务有关的资料。并对资料的真实性、完整性负责。</w:t>
      </w:r>
    </w:p>
    <w:p>
      <w:pPr>
        <w:snapToGrid w:val="0"/>
        <w:spacing w:line="360" w:lineRule="auto"/>
        <w:ind w:left="105" w:leftChars="50" w:firstLine="361" w:firstLineChars="150"/>
        <w:rPr>
          <w:rFonts w:ascii="宋体" w:hAnsi="宋体"/>
          <w:color w:val="000000"/>
          <w:sz w:val="24"/>
          <w:szCs w:val="20"/>
        </w:rPr>
      </w:pPr>
      <w:r>
        <w:rPr>
          <w:rFonts w:hint="eastAsia" w:ascii="宋体" w:hAnsi="宋体"/>
          <w:b/>
          <w:color w:val="000000"/>
          <w:sz w:val="24"/>
          <w:szCs w:val="20"/>
        </w:rPr>
        <w:t>第十条</w:t>
      </w:r>
      <w:r>
        <w:rPr>
          <w:rFonts w:hint="eastAsia" w:ascii="宋体" w:hAnsi="宋体"/>
          <w:color w:val="000000"/>
          <w:sz w:val="24"/>
          <w:szCs w:val="20"/>
        </w:rPr>
        <w:t xml:space="preserve"> 委托人在约定的时间内就咨询人书面提交并要求做出答复的事宜做出书面答复。    </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第十一条</w:t>
      </w:r>
      <w:r>
        <w:rPr>
          <w:rFonts w:hint="eastAsia" w:ascii="宋体" w:hAnsi="宋体"/>
          <w:color w:val="000000"/>
          <w:sz w:val="24"/>
          <w:szCs w:val="20"/>
        </w:rPr>
        <w:t xml:space="preserve">  委托人应当按合同条款规定及时支付咨询费用。</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咨询人的权利</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第十二条</w:t>
      </w:r>
      <w:r>
        <w:rPr>
          <w:rFonts w:hint="eastAsia" w:ascii="宋体" w:hAnsi="宋体"/>
          <w:color w:val="000000"/>
          <w:sz w:val="24"/>
          <w:szCs w:val="20"/>
        </w:rPr>
        <w:t xml:space="preserve">  咨询人在咨询过程中，如委托人提供的资料不明确时可向委托人提出书面报告。</w:t>
      </w:r>
    </w:p>
    <w:p>
      <w:pPr>
        <w:snapToGrid w:val="0"/>
        <w:spacing w:line="360" w:lineRule="auto"/>
        <w:ind w:firstLine="420"/>
        <w:rPr>
          <w:rFonts w:ascii="宋体" w:hAnsi="宋体"/>
          <w:b/>
          <w:color w:val="FF0000"/>
          <w:sz w:val="24"/>
          <w:szCs w:val="20"/>
        </w:rPr>
      </w:pPr>
      <w:r>
        <w:rPr>
          <w:rFonts w:hint="eastAsia" w:ascii="宋体" w:hAnsi="宋体"/>
          <w:b/>
          <w:color w:val="000000"/>
          <w:sz w:val="24"/>
          <w:szCs w:val="20"/>
        </w:rPr>
        <w:t>第十三条</w:t>
      </w:r>
      <w:r>
        <w:rPr>
          <w:rFonts w:hint="eastAsia" w:ascii="宋体" w:hAnsi="宋体"/>
          <w:color w:val="000000"/>
          <w:sz w:val="24"/>
          <w:szCs w:val="20"/>
        </w:rPr>
        <w:t xml:space="preserve">  咨询人在咨询过程中，有权对与本咨询业务有关的问题进行核对或查问，以及到工程现场勘察。</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第十四条</w:t>
      </w:r>
      <w:r>
        <w:rPr>
          <w:rFonts w:hint="eastAsia" w:ascii="宋体" w:hAnsi="宋体"/>
          <w:color w:val="000000"/>
          <w:sz w:val="24"/>
          <w:szCs w:val="20"/>
        </w:rPr>
        <w:t xml:space="preserve">  咨询人在咨询过程中，由于委托人原因造成咨询人无法继续履行合同时，咨询人有权解除合同并要求委托人承担相应赔偿。</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第十五条</w:t>
      </w:r>
      <w:r>
        <w:rPr>
          <w:rFonts w:hint="eastAsia" w:ascii="宋体" w:hAnsi="宋体"/>
          <w:color w:val="000000"/>
          <w:sz w:val="24"/>
          <w:szCs w:val="20"/>
        </w:rPr>
        <w:t xml:space="preserve">  咨询人在咨询过程中，有独立执行工程造价咨询业务工作的权利。</w:t>
      </w:r>
    </w:p>
    <w:p>
      <w:pPr>
        <w:snapToGrid w:val="0"/>
        <w:spacing w:line="360" w:lineRule="auto"/>
        <w:ind w:firstLine="420"/>
        <w:rPr>
          <w:rFonts w:ascii="宋体" w:hAnsi="宋体"/>
          <w:color w:val="000000"/>
          <w:sz w:val="24"/>
          <w:szCs w:val="20"/>
        </w:rPr>
      </w:pPr>
      <w:r>
        <w:rPr>
          <w:rFonts w:hint="eastAsia" w:ascii="宋体" w:hAnsi="宋体"/>
          <w:color w:val="000000"/>
          <w:sz w:val="24"/>
          <w:szCs w:val="20"/>
        </w:rPr>
        <w:t>咨询人有权拒绝委托人提出的有失公平、公正及违反法律法规的要求，由此原因造成的咨询合同终止咨询人免责。对于造成咨询人损失的，由委托人给予赔偿。</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委托人的权利</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第十六条</w:t>
      </w:r>
      <w:r>
        <w:rPr>
          <w:rFonts w:hint="eastAsia" w:ascii="宋体" w:hAnsi="宋体"/>
          <w:color w:val="000000"/>
          <w:sz w:val="24"/>
          <w:szCs w:val="20"/>
        </w:rPr>
        <w:t xml:space="preserve">  委托人有权向咨询人询问工作进展情况及相关的内容。</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第十七条</w:t>
      </w:r>
      <w:r>
        <w:rPr>
          <w:rFonts w:hint="eastAsia" w:ascii="宋体" w:hAnsi="宋体"/>
          <w:color w:val="000000"/>
          <w:sz w:val="24"/>
          <w:szCs w:val="20"/>
        </w:rPr>
        <w:t xml:space="preserve">  委托人有权阐述对具体问题的意见和建议。</w:t>
      </w:r>
    </w:p>
    <w:p>
      <w:pPr>
        <w:snapToGrid w:val="0"/>
        <w:spacing w:line="360" w:lineRule="auto"/>
        <w:ind w:firstLine="420"/>
        <w:rPr>
          <w:rFonts w:ascii="宋体" w:hAnsi="宋体"/>
          <w:b/>
          <w:color w:val="000000"/>
          <w:sz w:val="24"/>
          <w:szCs w:val="20"/>
        </w:rPr>
      </w:pPr>
      <w:r>
        <w:rPr>
          <w:rFonts w:hint="eastAsia" w:ascii="宋体" w:hAnsi="宋体"/>
          <w:b/>
          <w:color w:val="000000"/>
          <w:sz w:val="24"/>
          <w:szCs w:val="20"/>
        </w:rPr>
        <w:t>第十八条</w:t>
      </w:r>
      <w:r>
        <w:rPr>
          <w:rFonts w:hint="eastAsia" w:ascii="宋体" w:hAnsi="宋体"/>
          <w:color w:val="000000"/>
          <w:sz w:val="24"/>
          <w:szCs w:val="20"/>
        </w:rPr>
        <w:t xml:space="preserve">  当委托人认定咨询专业人员不按咨询合同履行其职责，或与第三人串通给委托人造成经济损失的，委托人有权要求更换咨询专业人员，直至终止合同并要求咨询人承担相应的赔偿责任。</w:t>
      </w:r>
    </w:p>
    <w:p>
      <w:pPr>
        <w:snapToGrid w:val="0"/>
        <w:spacing w:line="360" w:lineRule="auto"/>
        <w:ind w:firstLine="420"/>
        <w:rPr>
          <w:rFonts w:ascii="宋体" w:hAnsi="宋体"/>
          <w:color w:val="000000"/>
          <w:sz w:val="24"/>
          <w:szCs w:val="20"/>
        </w:rPr>
      </w:pPr>
      <w:r>
        <w:rPr>
          <w:rFonts w:hint="eastAsia" w:ascii="宋体" w:hAnsi="宋体"/>
          <w:b/>
          <w:color w:val="000000"/>
          <w:sz w:val="24"/>
          <w:szCs w:val="20"/>
        </w:rPr>
        <w:t>第十九条</w:t>
      </w:r>
      <w:r>
        <w:rPr>
          <w:rFonts w:hint="eastAsia" w:ascii="宋体" w:hAnsi="宋体"/>
          <w:color w:val="000000"/>
          <w:sz w:val="24"/>
          <w:szCs w:val="20"/>
        </w:rPr>
        <w:t xml:space="preserve">  当委托人认定咨询人执行的专业咨询业务不符合相关规范时，有向行业主管部门申诉的权利。</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咨询人的责任</w:t>
      </w:r>
    </w:p>
    <w:p>
      <w:pPr>
        <w:snapToGrid w:val="0"/>
        <w:spacing w:line="360" w:lineRule="auto"/>
        <w:rPr>
          <w:rFonts w:ascii="宋体" w:hAnsi="宋体"/>
          <w:b/>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第二十条</w:t>
      </w:r>
      <w:r>
        <w:rPr>
          <w:rFonts w:hint="eastAsia" w:ascii="宋体" w:hAnsi="宋体"/>
          <w:color w:val="000000"/>
          <w:sz w:val="24"/>
          <w:szCs w:val="20"/>
        </w:rPr>
        <w:t xml:space="preserve">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第二十一条</w:t>
      </w:r>
      <w:r>
        <w:rPr>
          <w:rFonts w:hint="eastAsia" w:ascii="宋体" w:hAnsi="宋体"/>
          <w:color w:val="000000"/>
          <w:sz w:val="24"/>
          <w:szCs w:val="20"/>
        </w:rPr>
        <w:t xml:space="preserve">  咨询人对委托人或第三人所提出的咨询业务范围内的问题不能及时核对或答复，导致合同不能全部或部分履行，咨询人应承担相应的责任。</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第二十二条</w:t>
      </w:r>
      <w:r>
        <w:rPr>
          <w:rFonts w:hint="eastAsia" w:ascii="宋体" w:hAnsi="宋体"/>
          <w:color w:val="000000"/>
          <w:sz w:val="24"/>
          <w:szCs w:val="20"/>
        </w:rPr>
        <w:t xml:space="preserve">  咨询人向委托人提出赔偿要求不能成立时，则应补偿由于该赔偿或其他要求所导致委托人的各种费用的支出。</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委托人的责任</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第二十三条</w:t>
      </w:r>
      <w:r>
        <w:rPr>
          <w:rFonts w:hint="eastAsia" w:ascii="宋体" w:hAnsi="宋体"/>
          <w:color w:val="000000"/>
          <w:sz w:val="24"/>
          <w:szCs w:val="20"/>
        </w:rPr>
        <w:t xml:space="preserve">  委托人应当履行建设工程造价咨询合同约定的义务，如有违反则应当承担违约责任，赔偿给咨询人造成的损失。</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第二十四条</w:t>
      </w:r>
      <w:r>
        <w:rPr>
          <w:rFonts w:hint="eastAsia" w:ascii="宋体" w:hAnsi="宋体"/>
          <w:color w:val="000000"/>
          <w:sz w:val="24"/>
          <w:szCs w:val="20"/>
        </w:rPr>
        <w:t xml:space="preserve">  委托人如果向咨询人提出赔偿或其他要求不能成立时，则应补偿由于该赔偿或其他要求所导致咨询人的各种费用的支出。</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合同生效、变更与终止</w:t>
      </w:r>
    </w:p>
    <w:p>
      <w:pPr>
        <w:snapToGrid w:val="0"/>
        <w:spacing w:line="360" w:lineRule="auto"/>
        <w:rPr>
          <w:rFonts w:ascii="宋体" w:hAnsi="宋体"/>
          <w:b/>
          <w:color w:val="000000"/>
          <w:sz w:val="24"/>
          <w:szCs w:val="20"/>
        </w:rPr>
      </w:pPr>
      <w:r>
        <w:rPr>
          <w:rFonts w:hint="eastAsia" w:ascii="宋体" w:hAnsi="宋体"/>
          <w:color w:val="000000"/>
          <w:sz w:val="24"/>
          <w:szCs w:val="20"/>
        </w:rPr>
        <w:t xml:space="preserve">    </w:t>
      </w:r>
      <w:r>
        <w:rPr>
          <w:rFonts w:hint="eastAsia" w:ascii="宋体" w:hAnsi="宋体"/>
          <w:b/>
          <w:color w:val="000000"/>
          <w:sz w:val="24"/>
          <w:szCs w:val="20"/>
        </w:rPr>
        <w:t>第二十五条</w:t>
      </w:r>
      <w:r>
        <w:rPr>
          <w:rFonts w:hint="eastAsia" w:ascii="宋体" w:hAnsi="宋体"/>
          <w:color w:val="000000"/>
          <w:sz w:val="24"/>
          <w:szCs w:val="20"/>
        </w:rPr>
        <w:t xml:space="preserve">  本合同自双方签字盖章之日起生效。</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第二十六条</w:t>
      </w:r>
      <w:r>
        <w:rPr>
          <w:rFonts w:hint="eastAsia" w:ascii="宋体" w:hAnsi="宋体"/>
          <w:color w:val="000000"/>
          <w:sz w:val="24"/>
          <w:szCs w:val="20"/>
        </w:rPr>
        <w:t xml:space="preserve">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第二十七条</w:t>
      </w:r>
      <w:r>
        <w:rPr>
          <w:rFonts w:hint="eastAsia" w:ascii="宋体" w:hAnsi="宋体"/>
          <w:color w:val="000000"/>
          <w:sz w:val="24"/>
          <w:szCs w:val="20"/>
        </w:rPr>
        <w:t xml:space="preserve">  当事人一方要求变更或解除合同时，则应当在7个工作日前通知对方；因变更或解除合同使一方遭受损失的，应由责任方负责赔偿。</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第二十八条</w:t>
      </w:r>
      <w:r>
        <w:rPr>
          <w:rFonts w:hint="eastAsia" w:ascii="宋体" w:hAnsi="宋体"/>
          <w:color w:val="000000"/>
          <w:sz w:val="24"/>
          <w:szCs w:val="20"/>
        </w:rPr>
        <w:t xml:space="preserve">  咨询人由于非自身原因暂停或中止执行建设工程造价咨询业务，由此而增加的恢复执行建设工程造价咨询业务的工作，应视为额外服务，有权得到额外的时间和酬金。</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第二十九条</w:t>
      </w:r>
      <w:r>
        <w:rPr>
          <w:rFonts w:hint="eastAsia" w:ascii="宋体" w:hAnsi="宋体"/>
          <w:color w:val="000000"/>
          <w:sz w:val="24"/>
          <w:szCs w:val="20"/>
        </w:rPr>
        <w:t xml:space="preserve">  变更或解除合同的通知或协议应当采取书面形式，新的协议未达成之前，原合同仍然有效。</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咨询业务酬金</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第三十条</w:t>
      </w:r>
      <w:r>
        <w:rPr>
          <w:rFonts w:hint="eastAsia" w:ascii="宋体" w:hAnsi="宋体"/>
          <w:color w:val="000000"/>
          <w:sz w:val="24"/>
          <w:szCs w:val="20"/>
        </w:rPr>
        <w:t xml:space="preserve">  正常服务，附加服务和额外服务的酬金，按照建设工程造价咨询合同专用条款约定的方法计取，并按约定的时间、数额和币种支付。</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第三十一条</w:t>
      </w:r>
      <w:r>
        <w:rPr>
          <w:rFonts w:hint="eastAsia" w:ascii="宋体" w:hAnsi="宋体"/>
          <w:color w:val="000000"/>
          <w:sz w:val="24"/>
          <w:szCs w:val="20"/>
        </w:rPr>
        <w:t xml:space="preserve">  如果委托人在规定的支付期限内未支付建设工程造价咨询酬金，自规定支付之日起，应当向咨询人补偿应支付的酬金利息。利息额按规定支付期限最后一日银行贷款利率计算。</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第三十二条</w:t>
      </w:r>
      <w:r>
        <w:rPr>
          <w:rFonts w:hint="eastAsia" w:ascii="宋体" w:hAnsi="宋体"/>
          <w:color w:val="000000"/>
          <w:sz w:val="24"/>
          <w:szCs w:val="20"/>
        </w:rPr>
        <w:t xml:space="preserve">  如果委托人对咨询人提交的支付通知书中酬金或部分酬金项目提出异议，应当在收到支付通知书两日内向咨询人发出异议的通知，但委托人不得拖延其无异议部分酬金的支付。</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第三十三条</w:t>
      </w:r>
      <w:r>
        <w:rPr>
          <w:rFonts w:hint="eastAsia" w:ascii="宋体" w:hAnsi="宋体"/>
          <w:color w:val="000000"/>
          <w:sz w:val="24"/>
          <w:szCs w:val="20"/>
        </w:rPr>
        <w:t xml:space="preserve">  支付建设工程造价咨询酬金所采取的货币币种、汇率由合同专用条款约定。</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其    他</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第三十四条</w:t>
      </w:r>
      <w:r>
        <w:rPr>
          <w:rFonts w:hint="eastAsia" w:ascii="宋体" w:hAnsi="宋体"/>
          <w:color w:val="000000"/>
          <w:sz w:val="24"/>
          <w:szCs w:val="20"/>
        </w:rPr>
        <w:t xml:space="preserve">  因建设工程造价咨询业务的需要，咨询人在合同约定外的外出考察，经委托人同意，其所需费用由委托人负责。</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第三十五条</w:t>
      </w:r>
      <w:r>
        <w:rPr>
          <w:rFonts w:hint="eastAsia" w:ascii="宋体" w:hAnsi="宋体"/>
          <w:color w:val="000000"/>
          <w:sz w:val="24"/>
          <w:szCs w:val="20"/>
        </w:rPr>
        <w:t xml:space="preserve">  咨询人如需外聘专家协助，在委托的建设工程造价咨询业务范围内其费用由咨询人承担；在委托的建设工程造价咨询业务范围以外经委托人认可其费用由委托人承担。</w:t>
      </w:r>
    </w:p>
    <w:p>
      <w:pPr>
        <w:snapToGrid w:val="0"/>
        <w:spacing w:line="360" w:lineRule="auto"/>
        <w:rPr>
          <w:rFonts w:ascii="宋体" w:hAnsi="宋体"/>
          <w:b/>
          <w:color w:val="000000"/>
          <w:sz w:val="24"/>
          <w:szCs w:val="20"/>
        </w:rPr>
      </w:pPr>
      <w:r>
        <w:rPr>
          <w:rFonts w:hint="eastAsia" w:ascii="宋体" w:hAnsi="宋体"/>
          <w:b/>
          <w:color w:val="000000"/>
          <w:sz w:val="24"/>
          <w:szCs w:val="20"/>
        </w:rPr>
        <w:t xml:space="preserve">    第三十六条</w:t>
      </w:r>
      <w:r>
        <w:rPr>
          <w:rFonts w:hint="eastAsia" w:ascii="宋体" w:hAnsi="宋体"/>
          <w:color w:val="000000"/>
          <w:sz w:val="24"/>
          <w:szCs w:val="20"/>
        </w:rPr>
        <w:t xml:space="preserve">  未经对方的书面同意，各方均不得转让合同约定的权利和义务。</w:t>
      </w:r>
    </w:p>
    <w:p>
      <w:pPr>
        <w:snapToGrid w:val="0"/>
        <w:spacing w:line="360" w:lineRule="auto"/>
        <w:rPr>
          <w:rFonts w:ascii="宋体" w:hAnsi="宋体"/>
          <w:color w:val="000000"/>
          <w:sz w:val="24"/>
          <w:szCs w:val="20"/>
        </w:rPr>
      </w:pPr>
      <w:r>
        <w:rPr>
          <w:rFonts w:hint="eastAsia" w:ascii="宋体" w:hAnsi="宋体"/>
          <w:b/>
          <w:color w:val="000000"/>
          <w:sz w:val="24"/>
          <w:szCs w:val="20"/>
        </w:rPr>
        <w:t xml:space="preserve">    第三十七条</w:t>
      </w:r>
      <w:r>
        <w:rPr>
          <w:rFonts w:hint="eastAsia" w:ascii="宋体" w:hAnsi="宋体"/>
          <w:color w:val="000000"/>
          <w:sz w:val="24"/>
          <w:szCs w:val="20"/>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pPr>
        <w:snapToGrid w:val="0"/>
        <w:spacing w:line="360" w:lineRule="auto"/>
        <w:jc w:val="center"/>
        <w:rPr>
          <w:rFonts w:ascii="宋体" w:hAnsi="宋体"/>
          <w:b/>
          <w:color w:val="000000"/>
          <w:sz w:val="24"/>
          <w:szCs w:val="20"/>
        </w:rPr>
      </w:pPr>
      <w:r>
        <w:rPr>
          <w:rFonts w:hint="eastAsia" w:ascii="宋体" w:hAnsi="宋体"/>
          <w:b/>
          <w:color w:val="000000"/>
          <w:sz w:val="24"/>
          <w:szCs w:val="20"/>
        </w:rPr>
        <w:t>合同争议的解决</w:t>
      </w:r>
    </w:p>
    <w:p>
      <w:pPr>
        <w:snapToGrid w:val="0"/>
        <w:spacing w:line="360" w:lineRule="auto"/>
        <w:ind w:firstLine="495"/>
        <w:rPr>
          <w:rFonts w:ascii="宋体" w:hAnsi="宋体"/>
          <w:color w:val="000000"/>
          <w:sz w:val="24"/>
          <w:szCs w:val="20"/>
        </w:rPr>
      </w:pPr>
      <w:r>
        <w:rPr>
          <w:rFonts w:hint="eastAsia" w:ascii="宋体" w:hAnsi="宋体"/>
          <w:b/>
          <w:color w:val="000000"/>
          <w:sz w:val="24"/>
          <w:szCs w:val="20"/>
        </w:rPr>
        <w:t>第三十八条</w:t>
      </w:r>
      <w:r>
        <w:rPr>
          <w:rFonts w:hint="eastAsia" w:ascii="宋体" w:hAnsi="宋体"/>
          <w:color w:val="000000"/>
          <w:sz w:val="24"/>
          <w:szCs w:val="20"/>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pPr>
        <w:snapToGrid w:val="0"/>
        <w:spacing w:line="360" w:lineRule="auto"/>
        <w:ind w:firstLine="495"/>
        <w:rPr>
          <w:rFonts w:ascii="宋体" w:hAnsi="宋体"/>
          <w:color w:val="000000"/>
          <w:sz w:val="24"/>
          <w:szCs w:val="20"/>
        </w:rPr>
      </w:pPr>
    </w:p>
    <w:p>
      <w:pPr>
        <w:snapToGrid w:val="0"/>
        <w:spacing w:line="360" w:lineRule="auto"/>
        <w:ind w:firstLine="495"/>
        <w:rPr>
          <w:rFonts w:ascii="宋体" w:hAnsi="宋体"/>
          <w:color w:val="000000"/>
          <w:sz w:val="24"/>
          <w:szCs w:val="20"/>
        </w:rPr>
      </w:pPr>
    </w:p>
    <w:p>
      <w:pPr>
        <w:snapToGrid w:val="0"/>
        <w:spacing w:line="360" w:lineRule="auto"/>
        <w:jc w:val="center"/>
        <w:rPr>
          <w:rFonts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第三部分  建设工程造价咨询合同专用条款</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 xml:space="preserve">第一条 </w:t>
      </w:r>
      <w:r>
        <w:rPr>
          <w:rFonts w:hint="eastAsia" w:ascii="宋体" w:hAnsi="宋体"/>
          <w:color w:val="000000"/>
          <w:sz w:val="24"/>
          <w:szCs w:val="20"/>
        </w:rPr>
        <w:t xml:space="preserve"> 本合同适用的法律、法规及工程造价计价办法和规定</w:t>
      </w:r>
    </w:p>
    <w:p>
      <w:pPr>
        <w:snapToGrid w:val="0"/>
        <w:spacing w:line="360" w:lineRule="auto"/>
        <w:ind w:firstLine="480" w:firstLineChars="200"/>
        <w:rPr>
          <w:rFonts w:ascii="宋体" w:hAnsi="宋体"/>
          <w:b/>
          <w:color w:val="000000"/>
          <w:sz w:val="24"/>
          <w:szCs w:val="20"/>
          <w:u w:val="single"/>
        </w:rPr>
      </w:pPr>
      <w:r>
        <w:rPr>
          <w:rFonts w:hint="eastAsia" w:ascii="宋体" w:hAnsi="宋体"/>
          <w:color w:val="000000"/>
          <w:sz w:val="24"/>
          <w:szCs w:val="20"/>
        </w:rPr>
        <w:t>1．适用法律和法规：</w:t>
      </w:r>
      <w:r>
        <w:rPr>
          <w:rFonts w:hint="eastAsia" w:ascii="宋体" w:hAnsi="宋体"/>
          <w:b/>
          <w:color w:val="000000"/>
          <w:sz w:val="24"/>
          <w:szCs w:val="20"/>
          <w:u w:val="single"/>
        </w:rPr>
        <w:t xml:space="preserve">  现行法律法规  </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2．工程造价计价办法：</w:t>
      </w:r>
      <w:r>
        <w:rPr>
          <w:rFonts w:hint="eastAsia" w:ascii="宋体" w:hAnsi="宋体"/>
          <w:b/>
          <w:color w:val="000000"/>
          <w:sz w:val="24"/>
          <w:szCs w:val="20"/>
          <w:u w:val="single"/>
        </w:rPr>
        <w:t xml:space="preserve">  现行工程造价计价办法</w:t>
      </w:r>
    </w:p>
    <w:p>
      <w:pPr>
        <w:snapToGrid w:val="0"/>
        <w:spacing w:line="360" w:lineRule="auto"/>
        <w:ind w:firstLine="480" w:firstLineChars="200"/>
        <w:rPr>
          <w:rFonts w:ascii="宋体" w:hAnsi="宋体"/>
          <w:b/>
          <w:color w:val="000000"/>
          <w:sz w:val="24"/>
          <w:szCs w:val="20"/>
        </w:rPr>
      </w:pPr>
      <w:r>
        <w:rPr>
          <w:rFonts w:hint="eastAsia" w:ascii="宋体" w:hAnsi="宋体"/>
          <w:color w:val="000000"/>
          <w:sz w:val="24"/>
          <w:szCs w:val="20"/>
        </w:rPr>
        <w:t>3.标准规范：</w:t>
      </w:r>
      <w:r>
        <w:rPr>
          <w:rFonts w:hint="eastAsia" w:ascii="宋体" w:hAnsi="宋体"/>
          <w:b/>
          <w:color w:val="000000"/>
          <w:sz w:val="24"/>
          <w:szCs w:val="20"/>
          <w:u w:val="single"/>
        </w:rPr>
        <w:t>现行标准规范。</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 xml:space="preserve">第二条 </w:t>
      </w:r>
      <w:r>
        <w:rPr>
          <w:rFonts w:hint="eastAsia" w:ascii="宋体" w:hAnsi="宋体"/>
          <w:color w:val="000000"/>
          <w:sz w:val="24"/>
          <w:szCs w:val="20"/>
        </w:rPr>
        <w:t xml:space="preserve"> 本合同咨询项目负责人由</w:t>
      </w:r>
      <w:r>
        <w:rPr>
          <w:rFonts w:hint="eastAsia" w:ascii="宋体" w:hAnsi="宋体"/>
          <w:b/>
          <w:color w:val="000000"/>
          <w:sz w:val="24"/>
          <w:szCs w:val="20"/>
          <w:u w:val="single"/>
        </w:rPr>
        <w:t xml:space="preserve">       </w:t>
      </w:r>
      <w:r>
        <w:rPr>
          <w:rFonts w:hint="eastAsia" w:ascii="宋体" w:hAnsi="宋体"/>
          <w:color w:val="000000"/>
          <w:sz w:val="24"/>
          <w:szCs w:val="20"/>
        </w:rPr>
        <w:t xml:space="preserve">担任，负责本咨询项目的具体实施及与委托方的联系等事宜。 </w:t>
      </w:r>
    </w:p>
    <w:p>
      <w:pPr>
        <w:snapToGrid w:val="0"/>
        <w:spacing w:line="360" w:lineRule="auto"/>
        <w:ind w:firstLine="482" w:firstLineChars="200"/>
        <w:rPr>
          <w:rFonts w:ascii="宋体" w:hAnsi="宋体"/>
          <w:color w:val="FF0000"/>
          <w:sz w:val="24"/>
          <w:szCs w:val="20"/>
        </w:rPr>
      </w:pPr>
      <w:r>
        <w:rPr>
          <w:rFonts w:hint="eastAsia" w:ascii="宋体" w:hAnsi="宋体"/>
          <w:b/>
          <w:color w:val="000000"/>
          <w:sz w:val="24"/>
          <w:szCs w:val="20"/>
        </w:rPr>
        <w:t>第三条</w:t>
      </w:r>
      <w:r>
        <w:rPr>
          <w:rFonts w:hint="eastAsia" w:ascii="宋体" w:hAnsi="宋体"/>
          <w:color w:val="000000"/>
          <w:sz w:val="24"/>
          <w:szCs w:val="20"/>
        </w:rPr>
        <w:t xml:space="preserve">  建设工程造价咨询业务范围及内容</w:t>
      </w:r>
    </w:p>
    <w:p>
      <w:pPr>
        <w:adjustRightInd w:val="0"/>
        <w:snapToGrid w:val="0"/>
        <w:spacing w:line="360" w:lineRule="auto"/>
        <w:ind w:firstLine="480" w:firstLineChars="200"/>
        <w:rPr>
          <w:rFonts w:ascii="宋体" w:hAnsi="宋体"/>
          <w:b/>
          <w:color w:val="000000"/>
          <w:sz w:val="24"/>
          <w:szCs w:val="20"/>
          <w:u w:val="single"/>
        </w:rPr>
      </w:pPr>
      <w:r>
        <w:rPr>
          <w:rFonts w:hint="eastAsia" w:ascii="宋体" w:hAnsi="宋体"/>
          <w:color w:val="000000"/>
          <w:sz w:val="24"/>
          <w:szCs w:val="20"/>
        </w:rPr>
        <w:t>1．委托工程造价咨询的工程范围：</w:t>
      </w:r>
      <w:r>
        <w:rPr>
          <w:rFonts w:hint="eastAsia" w:ascii="宋体" w:hAnsi="宋体"/>
          <w:b/>
          <w:color w:val="000000"/>
          <w:sz w:val="24"/>
          <w:u w:val="single"/>
        </w:rPr>
        <w:t xml:space="preserve"> </w:t>
      </w:r>
      <w:r>
        <w:rPr>
          <w:rFonts w:hint="eastAsia" w:ascii="宋体" w:hAnsi="宋体"/>
          <w:b/>
          <w:bCs/>
          <w:color w:val="000000"/>
          <w:sz w:val="24"/>
          <w:u w:val="single"/>
        </w:rPr>
        <w:t xml:space="preserve">腾龙大道智慧快速路二期工程、中吴大道西延智慧快速路工程、机场路快速化改造收尾工程  </w:t>
      </w:r>
      <w:r>
        <w:rPr>
          <w:rFonts w:hint="eastAsia" w:ascii="宋体" w:hAnsi="宋体"/>
          <w:b/>
          <w:color w:val="000000"/>
          <w:sz w:val="24"/>
          <w:szCs w:val="20"/>
          <w:u w:val="single"/>
        </w:rPr>
        <w:t xml:space="preserve"> </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 xml:space="preserve">2.委托工程造价咨询业务的内容： </w:t>
      </w:r>
    </w:p>
    <w:p>
      <w:pPr>
        <w:adjustRightInd w:val="0"/>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2.1 建设工程造价咨询业务</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投资决策阶段</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□编制建设工程投资估算       □审核建设工程投资估算</w:t>
      </w:r>
    </w:p>
    <w:p>
      <w:pPr>
        <w:tabs>
          <w:tab w:val="left" w:pos="476"/>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□建设工程项目经济评价       □其它</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工程设计阶段</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□编制建设工程概算        □审核建设工程概算</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□编制建设工程预算        □审核建设工程预算</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□设计方案经济比较        □其它</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工程发承包/招投标阶段</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■审核招标文件造价控制条款</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 xml:space="preserve">■编制工程量清单   ■编制招标控制价/发包工程预算（标底） </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□审核工程量清单   □审核招标控制价/发包工程预算（标底）</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□参与审查经济标   □参与合同谈判，协助起草合同文本</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□其它（对项目投资控制相关的造价咨询）</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工程施工阶段</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□分析合同价款（投标报价/发包工程预算），确定工程造价控制目标，编制资金使用计划</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□审核工程计量与价款支付     □审核工程索赔与签证费用</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□审核工程价款调整    □业主分包的专业工程招标咨询，材料设备询价</w:t>
      </w:r>
    </w:p>
    <w:p>
      <w:pPr>
        <w:tabs>
          <w:tab w:val="left" w:pos="0"/>
        </w:tabs>
        <w:snapToGrid w:val="0"/>
        <w:spacing w:line="360" w:lineRule="auto"/>
        <w:ind w:firstLine="480" w:firstLineChars="200"/>
        <w:rPr>
          <w:rFonts w:ascii="宋体" w:hAnsi="宋体"/>
          <w:color w:val="000000"/>
          <w:sz w:val="24"/>
          <w:szCs w:val="20"/>
          <w:u w:val="single"/>
        </w:rPr>
      </w:pPr>
      <w:r>
        <w:rPr>
          <w:rFonts w:hint="eastAsia" w:ascii="宋体" w:hAnsi="宋体"/>
          <w:color w:val="000000"/>
          <w:sz w:val="24"/>
          <w:szCs w:val="20"/>
        </w:rPr>
        <w:t xml:space="preserve">□分析工程投资偏差，调整工程造价控制目标      □其它 </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工程竣工阶段</w:t>
      </w:r>
    </w:p>
    <w:p>
      <w:pPr>
        <w:tabs>
          <w:tab w:val="left" w:pos="0"/>
        </w:tabs>
        <w:snapToGrid w:val="0"/>
        <w:spacing w:line="360" w:lineRule="auto"/>
        <w:ind w:firstLine="480" w:firstLineChars="200"/>
        <w:rPr>
          <w:rFonts w:ascii="宋体" w:hAnsi="宋体"/>
          <w:b/>
          <w:color w:val="000000"/>
          <w:sz w:val="24"/>
          <w:szCs w:val="20"/>
        </w:rPr>
      </w:pPr>
      <w:r>
        <w:rPr>
          <w:rFonts w:hint="eastAsia" w:ascii="宋体" w:hAnsi="宋体"/>
          <w:color w:val="000000"/>
          <w:sz w:val="24"/>
          <w:szCs w:val="20"/>
        </w:rPr>
        <w:t xml:space="preserve">□编制工程竣工结算书    □审核工程竣工结算 </w:t>
      </w:r>
    </w:p>
    <w:p>
      <w:pPr>
        <w:adjustRightInd w:val="0"/>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2.2 造价咨询其它业务</w:t>
      </w:r>
    </w:p>
    <w:p>
      <w:pPr>
        <w:tabs>
          <w:tab w:val="left" w:pos="0"/>
        </w:tabs>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□工程造价鉴定及仲裁咨询      □编制工程造价计价依据</w:t>
      </w:r>
    </w:p>
    <w:p>
      <w:pPr>
        <w:tabs>
          <w:tab w:val="left" w:pos="0"/>
        </w:tabs>
        <w:snapToGrid w:val="0"/>
        <w:spacing w:line="360" w:lineRule="auto"/>
        <w:ind w:firstLine="480" w:firstLineChars="200"/>
        <w:rPr>
          <w:rFonts w:ascii="宋体" w:hAnsi="宋体"/>
          <w:b/>
          <w:color w:val="000000"/>
          <w:sz w:val="24"/>
          <w:szCs w:val="20"/>
        </w:rPr>
      </w:pPr>
      <w:r>
        <w:rPr>
          <w:rFonts w:hint="eastAsia" w:ascii="宋体" w:hAnsi="宋体"/>
          <w:color w:val="000000"/>
          <w:sz w:val="24"/>
          <w:szCs w:val="20"/>
        </w:rPr>
        <w:t>□提供工程造价信息服务        □其它</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第四条</w:t>
      </w:r>
      <w:r>
        <w:rPr>
          <w:rFonts w:hint="eastAsia" w:ascii="宋体" w:hAnsi="宋体"/>
          <w:color w:val="000000"/>
          <w:sz w:val="24"/>
          <w:szCs w:val="20"/>
        </w:rPr>
        <w:t xml:space="preserve">  实施工程施工阶段造价咨询业务，要求咨询人常驻施工现场时，由委托人提供下列必要的办公条件</w:t>
      </w:r>
      <w:r>
        <w:rPr>
          <w:rFonts w:hint="eastAsia" w:ascii="宋体" w:hAnsi="宋体"/>
          <w:color w:val="000000"/>
          <w:sz w:val="24"/>
          <w:szCs w:val="20"/>
          <w:u w:val="single"/>
        </w:rPr>
        <w:t xml:space="preserve">    /        </w:t>
      </w:r>
      <w:r>
        <w:rPr>
          <w:rFonts w:hint="eastAsia" w:ascii="宋体" w:hAnsi="宋体"/>
          <w:color w:val="000000"/>
          <w:sz w:val="24"/>
          <w:szCs w:val="20"/>
        </w:rPr>
        <w:t>。</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第五条</w:t>
      </w:r>
      <w:r>
        <w:rPr>
          <w:rFonts w:hint="eastAsia" w:ascii="宋体" w:hAnsi="宋体"/>
          <w:color w:val="000000"/>
          <w:sz w:val="24"/>
          <w:szCs w:val="20"/>
        </w:rPr>
        <w:t xml:space="preserve">  双方约定的委托人应提供的建设工程造价咨询材料及提供时间：</w:t>
      </w:r>
    </w:p>
    <w:p>
      <w:pPr>
        <w:snapToGrid w:val="0"/>
        <w:spacing w:line="360" w:lineRule="auto"/>
        <w:rPr>
          <w:rFonts w:ascii="宋体" w:hAnsi="宋体"/>
          <w:b/>
          <w:color w:val="000000"/>
          <w:sz w:val="24"/>
          <w:szCs w:val="20"/>
          <w:u w:val="single"/>
        </w:rPr>
      </w:pPr>
      <w:r>
        <w:rPr>
          <w:rFonts w:hint="eastAsia" w:ascii="宋体" w:hAnsi="宋体"/>
          <w:b/>
          <w:color w:val="000000"/>
          <w:sz w:val="24"/>
          <w:szCs w:val="20"/>
          <w:u w:val="single"/>
        </w:rPr>
        <w:t>施工图纸、招标（采购）文件等。</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第六条</w:t>
      </w:r>
      <w:r>
        <w:rPr>
          <w:rFonts w:hint="eastAsia" w:ascii="宋体" w:hAnsi="宋体"/>
          <w:color w:val="000000"/>
          <w:sz w:val="24"/>
          <w:szCs w:val="20"/>
        </w:rPr>
        <w:t xml:space="preserve">  委托人应在</w:t>
      </w:r>
      <w:r>
        <w:rPr>
          <w:rFonts w:hint="eastAsia" w:ascii="宋体" w:hAnsi="宋体"/>
          <w:color w:val="000000"/>
          <w:sz w:val="24"/>
          <w:szCs w:val="20"/>
          <w:u w:val="single"/>
        </w:rPr>
        <w:t xml:space="preserve">  /  </w:t>
      </w:r>
      <w:r>
        <w:rPr>
          <w:rFonts w:hint="eastAsia" w:ascii="宋体" w:hAnsi="宋体"/>
          <w:color w:val="000000"/>
          <w:sz w:val="24"/>
          <w:szCs w:val="20"/>
        </w:rPr>
        <w:t>日内对咨询人书面提交并要求做出答复的事宜做出书面答复。</w:t>
      </w:r>
    </w:p>
    <w:p>
      <w:pPr>
        <w:snapToGrid w:val="0"/>
        <w:spacing w:line="360" w:lineRule="auto"/>
        <w:ind w:firstLine="482" w:firstLineChars="200"/>
        <w:rPr>
          <w:rFonts w:ascii="宋体" w:hAnsi="宋体"/>
          <w:b/>
          <w:color w:val="000000"/>
          <w:sz w:val="24"/>
          <w:szCs w:val="20"/>
        </w:rPr>
      </w:pPr>
      <w:r>
        <w:rPr>
          <w:rFonts w:hint="eastAsia" w:ascii="宋体" w:hAnsi="宋体"/>
          <w:b/>
          <w:color w:val="000000"/>
          <w:sz w:val="24"/>
          <w:szCs w:val="20"/>
        </w:rPr>
        <w:t xml:space="preserve"> 第七条</w:t>
      </w:r>
      <w:r>
        <w:rPr>
          <w:rFonts w:hint="eastAsia" w:ascii="宋体" w:hAnsi="宋体"/>
          <w:color w:val="000000"/>
          <w:sz w:val="24"/>
          <w:szCs w:val="20"/>
        </w:rPr>
        <w:t xml:space="preserve">  委托人授权</w:t>
      </w:r>
      <w:r>
        <w:rPr>
          <w:rFonts w:hint="eastAsia" w:ascii="宋体" w:hAnsi="宋体"/>
          <w:color w:val="000000"/>
          <w:sz w:val="24"/>
          <w:szCs w:val="20"/>
          <w:u w:val="single"/>
        </w:rPr>
        <w:t xml:space="preserve">    /      </w:t>
      </w:r>
      <w:r>
        <w:rPr>
          <w:rFonts w:hint="eastAsia" w:ascii="宋体" w:hAnsi="宋体"/>
          <w:color w:val="000000"/>
          <w:sz w:val="24"/>
          <w:szCs w:val="20"/>
        </w:rPr>
        <w:t>为本咨询业务的代表，负责与咨询人联系。</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 xml:space="preserve">第八条  </w:t>
      </w:r>
      <w:r>
        <w:rPr>
          <w:rFonts w:hint="eastAsia" w:ascii="宋体" w:hAnsi="宋体"/>
          <w:color w:val="000000"/>
          <w:sz w:val="24"/>
          <w:szCs w:val="20"/>
        </w:rPr>
        <w:t>咨询人在其责任期内如果因自身原因给委托方造成经济损失时，同意按以下办法承担责任，向委托方支付赔偿金：</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 xml:space="preserve">第九条 </w:t>
      </w:r>
      <w:r>
        <w:rPr>
          <w:rFonts w:hint="eastAsia" w:ascii="宋体" w:hAnsi="宋体"/>
          <w:color w:val="000000"/>
          <w:sz w:val="24"/>
          <w:szCs w:val="20"/>
        </w:rPr>
        <w:t xml:space="preserve"> 委托人对其提供资料的真实性、完整性和有效性负责，由此造成的咨询人工作的缺陷或失误及额外工作由委托人负责对咨询人进行赔偿。</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 xml:space="preserve">第十条  </w:t>
      </w:r>
      <w:r>
        <w:rPr>
          <w:rFonts w:hint="eastAsia" w:ascii="宋体" w:hAnsi="宋体"/>
          <w:color w:val="000000"/>
          <w:sz w:val="24"/>
          <w:szCs w:val="20"/>
        </w:rPr>
        <w:t>咨询人发生额外工作包括：</w:t>
      </w:r>
    </w:p>
    <w:p>
      <w:pPr>
        <w:snapToGrid w:val="0"/>
        <w:spacing w:line="360" w:lineRule="auto"/>
        <w:ind w:firstLine="482" w:firstLineChars="200"/>
        <w:rPr>
          <w:rFonts w:ascii="宋体" w:hAnsi="宋体"/>
          <w:b/>
          <w:color w:val="000000"/>
          <w:sz w:val="24"/>
          <w:szCs w:val="20"/>
          <w:u w:val="single"/>
        </w:rPr>
      </w:pPr>
      <w:r>
        <w:rPr>
          <w:rFonts w:hint="eastAsia" w:ascii="宋体" w:hAnsi="宋体"/>
          <w:b/>
          <w:color w:val="000000"/>
          <w:sz w:val="24"/>
          <w:szCs w:val="20"/>
          <w:u w:val="single"/>
        </w:rPr>
        <w:t>1、由于委托人提供的图纸等条件资料不全或发生变化，咨询人根据变化的条件资料发生的重复咨询工作；</w:t>
      </w:r>
    </w:p>
    <w:p>
      <w:pPr>
        <w:snapToGrid w:val="0"/>
        <w:spacing w:line="360" w:lineRule="auto"/>
        <w:ind w:firstLine="482" w:firstLineChars="200"/>
        <w:rPr>
          <w:rFonts w:ascii="宋体" w:hAnsi="宋体"/>
          <w:color w:val="000000"/>
          <w:sz w:val="24"/>
          <w:szCs w:val="20"/>
          <w:u w:val="single"/>
        </w:rPr>
      </w:pPr>
      <w:r>
        <w:rPr>
          <w:rFonts w:hint="eastAsia" w:ascii="宋体" w:hAnsi="宋体"/>
          <w:b/>
          <w:color w:val="000000"/>
          <w:sz w:val="24"/>
          <w:szCs w:val="20"/>
          <w:u w:val="single"/>
        </w:rPr>
        <w:t xml:space="preserve">2、由于咨询人以外的原因造成咨询人工作量增加的其它情况。 </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第十一条</w:t>
      </w:r>
      <w:r>
        <w:rPr>
          <w:rFonts w:hint="eastAsia" w:ascii="宋体" w:hAnsi="宋体"/>
          <w:color w:val="000000"/>
          <w:sz w:val="24"/>
          <w:szCs w:val="20"/>
        </w:rPr>
        <w:t xml:space="preserve">  委托人同意按以下的计算方法、支付时间与金额，支付咨询人的正常服务酬金：</w:t>
      </w:r>
    </w:p>
    <w:p>
      <w:pPr>
        <w:snapToGrid w:val="0"/>
        <w:spacing w:line="360" w:lineRule="auto"/>
        <w:ind w:firstLine="480" w:firstLineChars="200"/>
        <w:rPr>
          <w:rFonts w:ascii="宋体" w:hAnsi="宋体"/>
          <w:b/>
          <w:sz w:val="24"/>
          <w:szCs w:val="20"/>
          <w:u w:val="single"/>
        </w:rPr>
      </w:pPr>
      <w:r>
        <w:rPr>
          <w:rFonts w:hint="eastAsia" w:ascii="宋体" w:hAnsi="宋体"/>
          <w:color w:val="000000"/>
          <w:sz w:val="24"/>
          <w:szCs w:val="20"/>
        </w:rPr>
        <w:t>详见协议书。</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第十二条</w:t>
      </w:r>
      <w:r>
        <w:rPr>
          <w:rFonts w:hint="eastAsia" w:ascii="宋体" w:hAnsi="宋体"/>
          <w:color w:val="000000"/>
          <w:sz w:val="24"/>
          <w:szCs w:val="20"/>
        </w:rPr>
        <w:t xml:space="preserve">  双方同意用</w:t>
      </w:r>
      <w:r>
        <w:rPr>
          <w:rFonts w:hint="eastAsia" w:ascii="宋体" w:hAnsi="宋体"/>
          <w:b/>
          <w:color w:val="000000"/>
          <w:sz w:val="24"/>
          <w:szCs w:val="20"/>
          <w:u w:val="single"/>
        </w:rPr>
        <w:t xml:space="preserve">  人民币  </w:t>
      </w:r>
      <w:r>
        <w:rPr>
          <w:rFonts w:hint="eastAsia" w:ascii="宋体" w:hAnsi="宋体"/>
          <w:color w:val="000000"/>
          <w:sz w:val="24"/>
          <w:szCs w:val="20"/>
        </w:rPr>
        <w:t>支付酬金。</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第十三条</w:t>
      </w:r>
      <w:r>
        <w:rPr>
          <w:rFonts w:hint="eastAsia" w:ascii="宋体" w:hAnsi="宋体"/>
          <w:color w:val="000000"/>
          <w:sz w:val="24"/>
          <w:szCs w:val="20"/>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p>
    <w:p>
      <w:pPr>
        <w:snapToGrid w:val="0"/>
        <w:spacing w:line="360" w:lineRule="auto"/>
        <w:ind w:firstLine="482" w:firstLineChars="200"/>
        <w:rPr>
          <w:rFonts w:ascii="宋体" w:hAnsi="宋体"/>
          <w:color w:val="000000"/>
          <w:sz w:val="24"/>
          <w:szCs w:val="20"/>
        </w:rPr>
      </w:pPr>
      <w:r>
        <w:rPr>
          <w:rFonts w:hint="eastAsia" w:ascii="宋体" w:hAnsi="宋体"/>
          <w:b/>
          <w:color w:val="000000"/>
          <w:sz w:val="24"/>
          <w:szCs w:val="20"/>
        </w:rPr>
        <w:t>第十四条</w:t>
      </w:r>
      <w:r>
        <w:rPr>
          <w:rFonts w:hint="eastAsia" w:ascii="宋体" w:hAnsi="宋体"/>
          <w:color w:val="000000"/>
          <w:sz w:val="24"/>
          <w:szCs w:val="20"/>
        </w:rPr>
        <w:t xml:space="preserve">  建设工程造价咨询合同在履行过程中发生争议，委托人与咨询人应及时协商解决；如未能达成一致，可提交有关主管部门调解；协商或调解不成的，可以按下列第</w:t>
      </w:r>
      <w:r>
        <w:rPr>
          <w:rFonts w:hint="eastAsia" w:ascii="宋体" w:hAnsi="宋体"/>
          <w:color w:val="000000"/>
          <w:sz w:val="24"/>
          <w:szCs w:val="20"/>
          <w:u w:val="single"/>
        </w:rPr>
        <w:t xml:space="preserve">   1   </w:t>
      </w:r>
      <w:r>
        <w:rPr>
          <w:rFonts w:hint="eastAsia" w:ascii="宋体" w:hAnsi="宋体"/>
          <w:color w:val="000000"/>
          <w:sz w:val="24"/>
          <w:szCs w:val="20"/>
        </w:rPr>
        <w:t>种方式解决：</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1、提交</w:t>
      </w:r>
      <w:r>
        <w:rPr>
          <w:rFonts w:hint="eastAsia" w:ascii="宋体" w:hAnsi="宋体"/>
          <w:color w:val="000000"/>
          <w:sz w:val="24"/>
          <w:szCs w:val="20"/>
          <w:u w:val="single"/>
        </w:rPr>
        <w:t xml:space="preserve"> 常州 </w:t>
      </w:r>
      <w:r>
        <w:rPr>
          <w:rFonts w:hint="eastAsia" w:ascii="宋体" w:hAnsi="宋体"/>
          <w:color w:val="000000"/>
          <w:sz w:val="24"/>
          <w:szCs w:val="20"/>
        </w:rPr>
        <w:t>仲裁委员会仲裁；</w:t>
      </w:r>
    </w:p>
    <w:p>
      <w:pPr>
        <w:snapToGrid w:val="0"/>
        <w:spacing w:line="360" w:lineRule="auto"/>
        <w:ind w:firstLine="480" w:firstLineChars="200"/>
        <w:rPr>
          <w:rFonts w:ascii="宋体" w:hAnsi="宋体"/>
          <w:color w:val="000000"/>
          <w:sz w:val="24"/>
          <w:szCs w:val="20"/>
        </w:rPr>
      </w:pPr>
      <w:r>
        <w:rPr>
          <w:rFonts w:hint="eastAsia" w:ascii="宋体" w:hAnsi="宋体"/>
          <w:color w:val="000000"/>
          <w:sz w:val="24"/>
          <w:szCs w:val="20"/>
        </w:rPr>
        <w:t>2、依法向人民法院起诉。</w:t>
      </w:r>
    </w:p>
    <w:p>
      <w:pPr>
        <w:snapToGrid w:val="0"/>
        <w:spacing w:line="360" w:lineRule="auto"/>
        <w:ind w:firstLine="482" w:firstLineChars="200"/>
        <w:rPr>
          <w:rFonts w:ascii="宋体" w:hAnsi="宋体"/>
          <w:color w:val="000000"/>
          <w:sz w:val="24"/>
          <w:szCs w:val="20"/>
          <w:u w:val="single"/>
        </w:rPr>
      </w:pPr>
      <w:r>
        <w:rPr>
          <w:rFonts w:hint="eastAsia" w:ascii="宋体" w:hAnsi="宋体"/>
          <w:b/>
          <w:color w:val="000000"/>
          <w:sz w:val="24"/>
          <w:szCs w:val="20"/>
        </w:rPr>
        <w:t>附加协议条款：</w:t>
      </w:r>
      <w:r>
        <w:rPr>
          <w:rFonts w:hint="eastAsia" w:ascii="宋体" w:hAnsi="宋体"/>
          <w:color w:val="000000"/>
          <w:sz w:val="24"/>
          <w:szCs w:val="20"/>
          <w:u w:val="single"/>
        </w:rPr>
        <w:t xml:space="preserve"> / </w:t>
      </w:r>
    </w:p>
    <w:p>
      <w:pPr>
        <w:widowControl/>
        <w:spacing w:line="360" w:lineRule="auto"/>
        <w:jc w:val="left"/>
        <w:rPr>
          <w:rFonts w:ascii="宋体" w:hAnsi="宋体"/>
          <w:color w:val="000000"/>
          <w:sz w:val="24"/>
          <w:szCs w:val="20"/>
          <w:u w:val="single"/>
        </w:rPr>
        <w:sectPr>
          <w:pgSz w:w="11906" w:h="16838"/>
          <w:pgMar w:top="1440" w:right="1080" w:bottom="1440" w:left="1080" w:header="851" w:footer="992" w:gutter="0"/>
          <w:cols w:space="720" w:num="1"/>
          <w:docGrid w:type="lines" w:linePitch="312" w:charSpace="0"/>
        </w:sectPr>
      </w:pPr>
    </w:p>
    <w:p>
      <w:pPr>
        <w:pStyle w:val="135"/>
        <w:spacing w:before="312" w:line="360" w:lineRule="auto"/>
        <w:jc w:val="center"/>
        <w:rPr>
          <w:rFonts w:eastAsia="宋体"/>
          <w:szCs w:val="28"/>
        </w:rPr>
      </w:pPr>
      <w:r>
        <w:rPr>
          <w:rFonts w:hint="eastAsia" w:eastAsia="宋体"/>
          <w:szCs w:val="28"/>
        </w:rPr>
        <w:t>工程造价咨询服务项目廉政合同</w:t>
      </w:r>
    </w:p>
    <w:p>
      <w:pPr>
        <w:snapToGrid w:val="0"/>
        <w:spacing w:line="360" w:lineRule="auto"/>
        <w:ind w:firstLine="480" w:firstLineChars="200"/>
        <w:rPr>
          <w:rFonts w:ascii="宋体" w:hAnsi="宋体" w:eastAsia="宋体"/>
          <w:sz w:val="24"/>
          <w:szCs w:val="24"/>
        </w:rPr>
      </w:pPr>
      <w:r>
        <w:rPr>
          <w:rFonts w:hint="eastAsia" w:ascii="宋体" w:hAnsi="宋体"/>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szCs w:val="24"/>
          <w:u w:val="single"/>
        </w:rPr>
        <w:t>腾龙大道智慧快速路二期工程、中吴大道西延智慧快速路工程、机场路快速化改造收尾工程造价咨询服务</w:t>
      </w:r>
      <w:r>
        <w:rPr>
          <w:rFonts w:hint="eastAsia" w:ascii="宋体" w:hAnsi="宋体"/>
          <w:sz w:val="24"/>
          <w:szCs w:val="24"/>
        </w:rPr>
        <w:t>（项目名称）项目法人</w:t>
      </w:r>
      <w:r>
        <w:rPr>
          <w:rFonts w:hint="eastAsia" w:ascii="宋体" w:hAnsi="宋体"/>
          <w:sz w:val="24"/>
          <w:szCs w:val="24"/>
          <w:u w:val="single"/>
        </w:rPr>
        <w:t>常州市公路事业发展中心</w:t>
      </w:r>
      <w:r>
        <w:rPr>
          <w:rFonts w:hint="eastAsia" w:ascii="宋体" w:hAnsi="宋体"/>
          <w:sz w:val="24"/>
          <w:szCs w:val="24"/>
        </w:rPr>
        <w:t>（项目法人名称，以下简称“甲方”）与该项目的造价咨询单位</w:t>
      </w:r>
      <w:r>
        <w:rPr>
          <w:rFonts w:hint="eastAsia" w:ascii="宋体" w:hAnsi="宋体"/>
          <w:sz w:val="24"/>
          <w:szCs w:val="24"/>
          <w:u w:val="single"/>
        </w:rPr>
        <w:t xml:space="preserve">                   </w:t>
      </w:r>
      <w:r>
        <w:rPr>
          <w:rFonts w:hint="eastAsia" w:ascii="宋体" w:hAnsi="宋体"/>
          <w:sz w:val="24"/>
          <w:szCs w:val="24"/>
        </w:rPr>
        <w:t>（造价咨询单位名称，以下简称“乙方”），特订立如下合同。</w:t>
      </w:r>
    </w:p>
    <w:p>
      <w:pPr>
        <w:snapToGrid w:val="0"/>
        <w:spacing w:line="360" w:lineRule="auto"/>
        <w:ind w:firstLine="480" w:firstLineChars="200"/>
        <w:rPr>
          <w:rFonts w:ascii="宋体" w:hAnsi="宋体"/>
          <w:sz w:val="24"/>
          <w:szCs w:val="24"/>
        </w:rPr>
      </w:pPr>
      <w:r>
        <w:rPr>
          <w:rFonts w:hint="eastAsia" w:ascii="宋体" w:hAnsi="宋体"/>
          <w:sz w:val="24"/>
          <w:szCs w:val="24"/>
        </w:rPr>
        <w:t>1．甲方和乙方双方的权利和义务</w:t>
      </w:r>
    </w:p>
    <w:p>
      <w:pPr>
        <w:snapToGrid w:val="0"/>
        <w:spacing w:line="360" w:lineRule="auto"/>
        <w:ind w:firstLine="480" w:firstLineChars="200"/>
        <w:rPr>
          <w:rFonts w:ascii="宋体" w:hAnsi="宋体"/>
          <w:sz w:val="24"/>
          <w:szCs w:val="24"/>
        </w:rPr>
      </w:pPr>
      <w:r>
        <w:rPr>
          <w:rFonts w:hint="eastAsia" w:ascii="宋体" w:hAnsi="宋体"/>
          <w:sz w:val="24"/>
          <w:szCs w:val="24"/>
        </w:rPr>
        <w:t>（1）严格遵守党的政策规定和国家有关法律法规及交通运输部的有关规定。</w:t>
      </w:r>
    </w:p>
    <w:p>
      <w:pPr>
        <w:snapToGrid w:val="0"/>
        <w:spacing w:line="360" w:lineRule="auto"/>
        <w:ind w:firstLine="480" w:firstLineChars="200"/>
        <w:rPr>
          <w:rFonts w:ascii="宋体" w:hAnsi="宋体"/>
          <w:sz w:val="24"/>
          <w:szCs w:val="24"/>
        </w:rPr>
      </w:pPr>
      <w:r>
        <w:rPr>
          <w:rFonts w:hint="eastAsia" w:ascii="宋体" w:hAnsi="宋体"/>
          <w:sz w:val="24"/>
          <w:szCs w:val="24"/>
        </w:rPr>
        <w:t>（2）严格执行</w:t>
      </w:r>
      <w:r>
        <w:rPr>
          <w:rFonts w:hint="eastAsia" w:ascii="宋体" w:hAnsi="宋体"/>
          <w:sz w:val="24"/>
          <w:szCs w:val="24"/>
          <w:u w:val="single"/>
        </w:rPr>
        <w:t>腾龙大道智慧快速路二期工程、中吴大道西延智慧快速路工程、机场路快速化改造收尾工程造价咨询服务</w:t>
      </w:r>
      <w:r>
        <w:rPr>
          <w:rFonts w:hint="eastAsia" w:ascii="宋体" w:hAnsi="宋体"/>
          <w:sz w:val="24"/>
          <w:szCs w:val="24"/>
        </w:rPr>
        <w:t>（项目名称）合同文件，自觉按合同办事。</w:t>
      </w:r>
    </w:p>
    <w:p>
      <w:pPr>
        <w:snapToGrid w:val="0"/>
        <w:spacing w:line="360" w:lineRule="auto"/>
        <w:ind w:firstLine="480" w:firstLineChars="200"/>
        <w:rPr>
          <w:rFonts w:ascii="宋体" w:hAnsi="宋体"/>
          <w:sz w:val="24"/>
          <w:szCs w:val="24"/>
        </w:rPr>
      </w:pPr>
      <w:r>
        <w:rPr>
          <w:rFonts w:hint="eastAsia" w:ascii="宋体" w:hAnsi="宋体"/>
          <w:sz w:val="24"/>
          <w:szCs w:val="24"/>
        </w:rPr>
        <w:t>（3）双方的业务活动坚持公开、公正、诚信、透明的原则（法律认定的商业秘密和合同文件另有规定除外），不得损害国家和集体利益，不得违反工程建设管理规章制度。</w:t>
      </w:r>
    </w:p>
    <w:p>
      <w:pPr>
        <w:snapToGrid w:val="0"/>
        <w:spacing w:line="360" w:lineRule="auto"/>
        <w:ind w:firstLine="480" w:firstLineChars="200"/>
        <w:rPr>
          <w:rFonts w:ascii="宋体" w:hAnsi="宋体"/>
          <w:sz w:val="24"/>
          <w:szCs w:val="24"/>
        </w:rPr>
      </w:pPr>
      <w:r>
        <w:rPr>
          <w:rFonts w:hint="eastAsia" w:ascii="宋体" w:hAnsi="宋体"/>
          <w:sz w:val="24"/>
          <w:szCs w:val="24"/>
        </w:rPr>
        <w:t>（4）建立健全廉政制度，开展廉政教育，设立廉政告示牌，公布举报电话，监督并认真查处违法违纪行为。</w:t>
      </w:r>
    </w:p>
    <w:p>
      <w:pPr>
        <w:snapToGrid w:val="0"/>
        <w:spacing w:line="360" w:lineRule="auto"/>
        <w:ind w:firstLine="480" w:firstLineChars="200"/>
        <w:rPr>
          <w:rFonts w:ascii="宋体" w:hAnsi="宋体"/>
          <w:sz w:val="24"/>
          <w:szCs w:val="24"/>
        </w:rPr>
      </w:pPr>
      <w:r>
        <w:rPr>
          <w:rFonts w:hint="eastAsia" w:ascii="宋体" w:hAnsi="宋体"/>
          <w:sz w:val="24"/>
          <w:szCs w:val="24"/>
        </w:rPr>
        <w:t>（5）发现对方在业务活动中有违反廉政规定的行为，有及时提醒对方纠正的权利和义务。</w:t>
      </w:r>
    </w:p>
    <w:p>
      <w:pPr>
        <w:snapToGrid w:val="0"/>
        <w:spacing w:line="360" w:lineRule="auto"/>
        <w:ind w:firstLine="480" w:firstLineChars="200"/>
        <w:rPr>
          <w:rFonts w:ascii="宋体" w:hAnsi="宋体"/>
          <w:sz w:val="24"/>
          <w:szCs w:val="24"/>
        </w:rPr>
      </w:pPr>
      <w:r>
        <w:rPr>
          <w:rFonts w:hint="eastAsia" w:ascii="宋体" w:hAnsi="宋体"/>
          <w:sz w:val="24"/>
          <w:szCs w:val="24"/>
        </w:rPr>
        <w:t>（6）发现对方严重违反本合同义务条款的行为，有向其上级有关部门举报、建议给予处理并要求告知处理结果的权利。</w:t>
      </w:r>
    </w:p>
    <w:p>
      <w:pPr>
        <w:snapToGrid w:val="0"/>
        <w:spacing w:line="360" w:lineRule="auto"/>
        <w:ind w:firstLine="480" w:firstLineChars="200"/>
        <w:rPr>
          <w:rFonts w:ascii="宋体" w:hAnsi="宋体"/>
          <w:sz w:val="24"/>
          <w:szCs w:val="24"/>
        </w:rPr>
      </w:pPr>
      <w:r>
        <w:rPr>
          <w:rFonts w:hint="eastAsia" w:ascii="宋体" w:hAnsi="宋体"/>
          <w:sz w:val="24"/>
          <w:szCs w:val="24"/>
        </w:rPr>
        <w:t>2．甲方的义务</w:t>
      </w:r>
    </w:p>
    <w:p>
      <w:pPr>
        <w:snapToGrid w:val="0"/>
        <w:spacing w:line="360" w:lineRule="auto"/>
        <w:ind w:firstLine="480" w:firstLineChars="200"/>
        <w:rPr>
          <w:rFonts w:ascii="宋体" w:hAnsi="宋体"/>
          <w:sz w:val="24"/>
          <w:szCs w:val="24"/>
        </w:rPr>
      </w:pPr>
      <w:r>
        <w:rPr>
          <w:rFonts w:hint="eastAsia" w:ascii="宋体" w:hAnsi="宋体"/>
          <w:sz w:val="24"/>
          <w:szCs w:val="24"/>
        </w:rPr>
        <w:t>（1）甲方及其工作人员不得索要或接受乙方的礼金、有价证券和贵重物品，不得让乙方报销任何应由甲方或甲方工作人员个人支付的费用等。</w:t>
      </w:r>
    </w:p>
    <w:p>
      <w:pPr>
        <w:snapToGrid w:val="0"/>
        <w:spacing w:line="360" w:lineRule="auto"/>
        <w:ind w:firstLine="480" w:firstLineChars="200"/>
        <w:rPr>
          <w:rFonts w:ascii="宋体" w:hAnsi="宋体"/>
          <w:sz w:val="24"/>
          <w:szCs w:val="24"/>
        </w:rPr>
      </w:pPr>
      <w:r>
        <w:rPr>
          <w:rFonts w:hint="eastAsia" w:ascii="宋体" w:hAnsi="宋体"/>
          <w:sz w:val="24"/>
          <w:szCs w:val="24"/>
        </w:rPr>
        <w:t>（2）甲方工作人员不得参加乙方安排的超标准宴请和娱乐活动；不得接受乙方提供的通讯工具、交通工具和高档办公用品等。</w:t>
      </w:r>
    </w:p>
    <w:p>
      <w:pPr>
        <w:snapToGrid w:val="0"/>
        <w:spacing w:line="360" w:lineRule="auto"/>
        <w:ind w:firstLine="480" w:firstLineChars="200"/>
        <w:rPr>
          <w:rFonts w:ascii="宋体" w:hAnsi="宋体"/>
          <w:sz w:val="24"/>
          <w:szCs w:val="24"/>
        </w:rPr>
      </w:pPr>
      <w:r>
        <w:rPr>
          <w:rFonts w:hint="eastAsia" w:ascii="宋体" w:hAnsi="宋体"/>
          <w:sz w:val="24"/>
          <w:szCs w:val="24"/>
        </w:rPr>
        <w:t>（3）甲方及其工作人员不利要求或者接受乙方为其住房装修、婚丧嫁娶活动、配偶子女的工作安排以及出国出境、旅游等提供方便等。</w:t>
      </w:r>
    </w:p>
    <w:p>
      <w:pPr>
        <w:snapToGrid w:val="0"/>
        <w:spacing w:line="360" w:lineRule="auto"/>
        <w:ind w:firstLine="480" w:firstLineChars="200"/>
        <w:rPr>
          <w:rFonts w:ascii="宋体" w:hAnsi="宋体"/>
          <w:sz w:val="24"/>
          <w:szCs w:val="24"/>
        </w:rPr>
      </w:pPr>
      <w:r>
        <w:rPr>
          <w:rFonts w:hint="eastAsia" w:ascii="宋体" w:hAnsi="宋体"/>
          <w:sz w:val="24"/>
          <w:szCs w:val="24"/>
        </w:rPr>
        <w:t>（4）甲方工作人员及其配偶、子女不得从事与甲方工作有关的材料设备供应、工程分包、劳务等经济活动等。</w:t>
      </w:r>
    </w:p>
    <w:p>
      <w:pPr>
        <w:snapToGrid w:val="0"/>
        <w:spacing w:line="360" w:lineRule="auto"/>
        <w:ind w:firstLine="480" w:firstLineChars="200"/>
        <w:rPr>
          <w:rFonts w:ascii="宋体" w:hAnsi="宋体"/>
          <w:sz w:val="24"/>
          <w:szCs w:val="24"/>
        </w:rPr>
      </w:pPr>
      <w:r>
        <w:rPr>
          <w:rFonts w:hint="eastAsia" w:ascii="宋体" w:hAnsi="宋体"/>
          <w:sz w:val="24"/>
          <w:szCs w:val="24"/>
        </w:rPr>
        <w:t>（5）甲方及期工作人员不得以任何理由向乙方推荐分包单位或推销材料，不得要求乙方购买合同规定外的材料和设备。</w:t>
      </w:r>
    </w:p>
    <w:p>
      <w:pPr>
        <w:snapToGrid w:val="0"/>
        <w:spacing w:line="360" w:lineRule="auto"/>
        <w:ind w:firstLine="480" w:firstLineChars="200"/>
        <w:rPr>
          <w:rFonts w:ascii="宋体" w:hAnsi="宋体"/>
          <w:sz w:val="24"/>
          <w:szCs w:val="24"/>
        </w:rPr>
      </w:pPr>
      <w:r>
        <w:rPr>
          <w:rFonts w:hint="eastAsia" w:ascii="宋体" w:hAnsi="宋体"/>
          <w:sz w:val="24"/>
          <w:szCs w:val="24"/>
        </w:rPr>
        <w:t>（6）甲方工作人员要秉公办事，不准营私舞弊，不准利用职权从事各种个人有偿中介活动和安排个人施工队伍。</w:t>
      </w:r>
    </w:p>
    <w:p>
      <w:pPr>
        <w:snapToGrid w:val="0"/>
        <w:spacing w:line="360" w:lineRule="auto"/>
        <w:ind w:firstLine="480" w:firstLineChars="200"/>
        <w:rPr>
          <w:rFonts w:ascii="宋体" w:hAnsi="宋体"/>
          <w:sz w:val="24"/>
          <w:szCs w:val="24"/>
        </w:rPr>
      </w:pPr>
      <w:r>
        <w:rPr>
          <w:rFonts w:hint="eastAsia" w:ascii="宋体" w:hAnsi="宋体"/>
          <w:sz w:val="24"/>
          <w:szCs w:val="24"/>
        </w:rPr>
        <w:t>3．乙方的义务</w:t>
      </w:r>
    </w:p>
    <w:p>
      <w:pPr>
        <w:snapToGrid w:val="0"/>
        <w:spacing w:line="360" w:lineRule="auto"/>
        <w:ind w:firstLine="480" w:firstLineChars="200"/>
        <w:rPr>
          <w:rFonts w:ascii="宋体" w:hAnsi="宋体"/>
          <w:sz w:val="24"/>
          <w:szCs w:val="24"/>
        </w:rPr>
      </w:pPr>
      <w:r>
        <w:rPr>
          <w:rFonts w:hint="eastAsia" w:ascii="宋体" w:hAnsi="宋体"/>
          <w:sz w:val="24"/>
          <w:szCs w:val="24"/>
        </w:rPr>
        <w:t>（1）乙方不得以任何理由向甲方及其工作人员行贿或馈赠礼金、有价证券、贵重礼品。</w:t>
      </w:r>
    </w:p>
    <w:p>
      <w:pPr>
        <w:snapToGrid w:val="0"/>
        <w:spacing w:line="360" w:lineRule="auto"/>
        <w:ind w:firstLine="480" w:firstLineChars="200"/>
        <w:rPr>
          <w:rFonts w:ascii="宋体" w:hAnsi="宋体"/>
          <w:sz w:val="24"/>
          <w:szCs w:val="24"/>
        </w:rPr>
      </w:pPr>
      <w:r>
        <w:rPr>
          <w:rFonts w:hint="eastAsia" w:ascii="宋体" w:hAnsi="宋体"/>
          <w:sz w:val="24"/>
          <w:szCs w:val="24"/>
        </w:rPr>
        <w:t>（2）乙方不得以任何名义为甲方及其工作人员报销应由发包人单位或个人支付的任何费用。</w:t>
      </w:r>
    </w:p>
    <w:p>
      <w:pPr>
        <w:snapToGrid w:val="0"/>
        <w:spacing w:line="360" w:lineRule="auto"/>
        <w:ind w:firstLine="480" w:firstLineChars="200"/>
        <w:rPr>
          <w:rFonts w:ascii="宋体" w:hAnsi="宋体"/>
          <w:sz w:val="24"/>
          <w:szCs w:val="24"/>
        </w:rPr>
      </w:pPr>
      <w:r>
        <w:rPr>
          <w:rFonts w:hint="eastAsia" w:ascii="宋体" w:hAnsi="宋体"/>
          <w:sz w:val="24"/>
          <w:szCs w:val="24"/>
        </w:rPr>
        <w:t>（3）咨询服务单位不得以任何理由安排甲方工作人员参加超标准宴请及娱乐活动。</w:t>
      </w:r>
    </w:p>
    <w:p>
      <w:pPr>
        <w:snapToGrid w:val="0"/>
        <w:spacing w:line="360" w:lineRule="auto"/>
        <w:ind w:firstLine="480" w:firstLineChars="200"/>
        <w:rPr>
          <w:rFonts w:ascii="宋体" w:hAnsi="宋体"/>
          <w:sz w:val="24"/>
          <w:szCs w:val="24"/>
        </w:rPr>
      </w:pPr>
      <w:r>
        <w:rPr>
          <w:rFonts w:hint="eastAsia" w:ascii="宋体" w:hAnsi="宋体"/>
          <w:sz w:val="24"/>
          <w:szCs w:val="24"/>
        </w:rPr>
        <w:t>（4）咨询服务单位不得为甲方单位和个人购置或提供通讯工具、交通工具和高档办公用品等。</w:t>
      </w:r>
    </w:p>
    <w:p>
      <w:pPr>
        <w:snapToGrid w:val="0"/>
        <w:spacing w:line="360" w:lineRule="auto"/>
        <w:ind w:firstLine="480" w:firstLineChars="200"/>
        <w:rPr>
          <w:rFonts w:ascii="宋体" w:hAnsi="宋体"/>
          <w:sz w:val="24"/>
          <w:szCs w:val="24"/>
        </w:rPr>
      </w:pPr>
      <w:r>
        <w:rPr>
          <w:rFonts w:hint="eastAsia" w:ascii="宋体" w:hAnsi="宋体"/>
          <w:sz w:val="24"/>
          <w:szCs w:val="24"/>
        </w:rPr>
        <w:t>4．违约责任</w:t>
      </w:r>
    </w:p>
    <w:p>
      <w:pPr>
        <w:snapToGrid w:val="0"/>
        <w:spacing w:line="360" w:lineRule="auto"/>
        <w:ind w:firstLine="480" w:firstLineChars="200"/>
        <w:rPr>
          <w:rFonts w:ascii="宋体" w:hAnsi="宋体"/>
          <w:sz w:val="24"/>
          <w:szCs w:val="24"/>
        </w:rPr>
      </w:pPr>
      <w:r>
        <w:rPr>
          <w:rFonts w:hint="eastAsia" w:ascii="宋体" w:hAnsi="宋体"/>
          <w:sz w:val="24"/>
          <w:szCs w:val="24"/>
        </w:rPr>
        <w:t>（1）甲方及其工作人员违反本合同第1、2条，按管理权限，依据有关规定给予党纪、政纪或组织处理；涉嫌犯罪的，移交司法机关追究刑事责任；给乙方单位造成经济损失的，应予以赔偿。</w:t>
      </w:r>
    </w:p>
    <w:p>
      <w:pPr>
        <w:snapToGrid w:val="0"/>
        <w:spacing w:line="360" w:lineRule="auto"/>
        <w:ind w:firstLine="480" w:firstLineChars="200"/>
        <w:rPr>
          <w:rFonts w:ascii="宋体" w:hAnsi="宋体"/>
          <w:sz w:val="24"/>
          <w:szCs w:val="24"/>
        </w:rPr>
      </w:pPr>
      <w:r>
        <w:rPr>
          <w:rFonts w:hint="eastAsia" w:ascii="宋体" w:hAnsi="宋体"/>
          <w:sz w:val="24"/>
          <w:szCs w:val="24"/>
        </w:rPr>
        <w:t>（2）乙方及其工作人员违反本合同第1、3条，按管理权限，依据有关规定给予党纪、政纪或组织处理；给甲方单位造成经济损失的，应予以赔偿；情节严重的，甲方建议交通主管部门给予乙方一至三年内不得进入其主管的公路建设市场的处罚。</w:t>
      </w:r>
    </w:p>
    <w:p>
      <w:pPr>
        <w:snapToGrid w:val="0"/>
        <w:spacing w:line="360" w:lineRule="auto"/>
        <w:ind w:firstLine="480" w:firstLineChars="200"/>
        <w:rPr>
          <w:rFonts w:ascii="宋体" w:hAnsi="宋体"/>
          <w:sz w:val="24"/>
          <w:szCs w:val="24"/>
        </w:rPr>
      </w:pPr>
      <w:r>
        <w:rPr>
          <w:rFonts w:hint="eastAsia" w:ascii="宋体" w:hAnsi="宋体"/>
          <w:sz w:val="24"/>
          <w:szCs w:val="24"/>
        </w:rPr>
        <w:t>5.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snapToGrid w:val="0"/>
        <w:spacing w:line="360" w:lineRule="auto"/>
        <w:ind w:firstLine="480" w:firstLineChars="200"/>
        <w:rPr>
          <w:rFonts w:ascii="宋体" w:hAnsi="宋体"/>
          <w:sz w:val="24"/>
          <w:szCs w:val="24"/>
        </w:rPr>
      </w:pPr>
      <w:r>
        <w:rPr>
          <w:rFonts w:hint="eastAsia" w:ascii="宋体" w:hAnsi="宋体"/>
          <w:sz w:val="24"/>
          <w:szCs w:val="24"/>
        </w:rPr>
        <w:t>6.本合同有效期为甲方和乙方签署之日起至该工程项目竣工验收后止。</w:t>
      </w:r>
    </w:p>
    <w:p>
      <w:pPr>
        <w:snapToGrid w:val="0"/>
        <w:spacing w:line="360" w:lineRule="auto"/>
        <w:ind w:firstLine="480" w:firstLineChars="200"/>
        <w:rPr>
          <w:rFonts w:ascii="宋体" w:hAnsi="宋体"/>
          <w:sz w:val="24"/>
          <w:szCs w:val="24"/>
        </w:rPr>
      </w:pPr>
      <w:r>
        <w:rPr>
          <w:rFonts w:hint="eastAsia" w:ascii="宋体" w:hAnsi="宋体"/>
          <w:sz w:val="24"/>
          <w:szCs w:val="24"/>
        </w:rPr>
        <w:t>7．本合同作为</w:t>
      </w:r>
      <w:r>
        <w:rPr>
          <w:rFonts w:hint="eastAsia" w:ascii="宋体" w:hAnsi="宋体"/>
          <w:sz w:val="24"/>
          <w:szCs w:val="24"/>
          <w:u w:val="single"/>
        </w:rPr>
        <w:t>腾龙大道智慧快速路二期工程、中吴大道西延智慧快速路工程、机场路快速化改造收尾工程造价咨询服务</w:t>
      </w:r>
      <w:r>
        <w:rPr>
          <w:rFonts w:hint="eastAsia" w:ascii="宋体" w:hAnsi="宋体"/>
          <w:sz w:val="24"/>
          <w:szCs w:val="24"/>
        </w:rPr>
        <w:t>合同的附件，与合同具有同等的法律效力，经合同双方签署后立即生效。</w:t>
      </w:r>
    </w:p>
    <w:p>
      <w:pPr>
        <w:snapToGrid w:val="0"/>
        <w:spacing w:line="360" w:lineRule="auto"/>
        <w:ind w:firstLine="480" w:firstLineChars="200"/>
        <w:rPr>
          <w:rFonts w:ascii="宋体" w:hAnsi="宋体"/>
          <w:sz w:val="24"/>
          <w:szCs w:val="24"/>
        </w:rPr>
      </w:pPr>
      <w:r>
        <w:rPr>
          <w:rFonts w:hint="eastAsia" w:ascii="宋体" w:hAnsi="宋体"/>
          <w:sz w:val="24"/>
          <w:szCs w:val="24"/>
        </w:rPr>
        <w:t>8．本合同一式四份，其中正本两份，双方各执壹份；副本两份，双方各执一份；具有同等的法律效力。</w:t>
      </w:r>
    </w:p>
    <w:p>
      <w:pPr>
        <w:snapToGrid w:val="0"/>
        <w:spacing w:line="360" w:lineRule="auto"/>
        <w:ind w:right="-86" w:firstLine="480" w:firstLineChars="200"/>
        <w:rPr>
          <w:rFonts w:ascii="宋体" w:hAnsi="宋体"/>
          <w:sz w:val="24"/>
          <w:szCs w:val="24"/>
        </w:rPr>
      </w:pPr>
    </w:p>
    <w:p>
      <w:pPr>
        <w:snapToGrid w:val="0"/>
        <w:spacing w:line="360" w:lineRule="auto"/>
        <w:jc w:val="left"/>
        <w:rPr>
          <w:rFonts w:ascii="宋体" w:hAnsi="宋体"/>
          <w:spacing w:val="-10"/>
          <w:sz w:val="24"/>
          <w:szCs w:val="24"/>
        </w:rPr>
      </w:pPr>
      <w:r>
        <w:rPr>
          <w:rFonts w:hint="eastAsia" w:ascii="宋体" w:hAnsi="宋体"/>
          <w:spacing w:val="-10"/>
          <w:sz w:val="24"/>
          <w:szCs w:val="24"/>
        </w:rPr>
        <w:t>甲方：</w:t>
      </w:r>
      <w:r>
        <w:rPr>
          <w:rFonts w:hint="eastAsia" w:ascii="宋体" w:hAnsi="宋体"/>
          <w:spacing w:val="-10"/>
          <w:sz w:val="24"/>
          <w:szCs w:val="24"/>
          <w:u w:val="single"/>
        </w:rPr>
        <w:t>常州市公路事业发展中心</w:t>
      </w:r>
      <w:r>
        <w:rPr>
          <w:rFonts w:hint="eastAsia" w:ascii="宋体" w:hAnsi="宋体"/>
          <w:spacing w:val="-10"/>
          <w:sz w:val="24"/>
          <w:szCs w:val="24"/>
        </w:rPr>
        <w:t>（盖章）         乙方：</w:t>
      </w:r>
      <w:r>
        <w:rPr>
          <w:rFonts w:hint="eastAsia" w:ascii="宋体" w:hAnsi="宋体"/>
          <w:spacing w:val="-10"/>
          <w:sz w:val="24"/>
          <w:szCs w:val="24"/>
          <w:u w:val="single"/>
        </w:rPr>
        <w:t xml:space="preserve">                </w:t>
      </w:r>
      <w:r>
        <w:rPr>
          <w:rFonts w:hint="eastAsia" w:ascii="宋体" w:hAnsi="宋体"/>
          <w:spacing w:val="-10"/>
          <w:sz w:val="24"/>
          <w:szCs w:val="24"/>
        </w:rPr>
        <w:t>（盖章）</w:t>
      </w:r>
    </w:p>
    <w:p>
      <w:pPr>
        <w:snapToGrid w:val="0"/>
        <w:spacing w:line="360" w:lineRule="auto"/>
        <w:jc w:val="left"/>
        <w:rPr>
          <w:rFonts w:ascii="宋体" w:hAnsi="宋体"/>
          <w:spacing w:val="-10"/>
          <w:sz w:val="24"/>
          <w:szCs w:val="24"/>
        </w:rPr>
      </w:pPr>
      <w:r>
        <w:rPr>
          <w:rFonts w:hint="eastAsia" w:ascii="宋体" w:hAnsi="宋体"/>
          <w:sz w:val="24"/>
          <w:szCs w:val="24"/>
        </w:rPr>
        <w:t>法定代表人                              法定代表人</w:t>
      </w:r>
    </w:p>
    <w:p>
      <w:pPr>
        <w:snapToGrid w:val="0"/>
        <w:spacing w:line="360" w:lineRule="auto"/>
        <w:jc w:val="left"/>
        <w:rPr>
          <w:rFonts w:ascii="宋体" w:hAnsi="宋体"/>
          <w:spacing w:val="-10"/>
          <w:sz w:val="24"/>
          <w:szCs w:val="24"/>
        </w:rPr>
      </w:pPr>
      <w:r>
        <w:rPr>
          <w:rFonts w:hint="eastAsia" w:ascii="宋体" w:hAnsi="宋体"/>
          <w:sz w:val="24"/>
          <w:szCs w:val="24"/>
        </w:rPr>
        <w:t>或其委托代理人：</w:t>
      </w:r>
      <w:r>
        <w:rPr>
          <w:rFonts w:hint="eastAsia" w:ascii="宋体" w:hAnsi="宋体"/>
          <w:sz w:val="24"/>
          <w:szCs w:val="24"/>
          <w:u w:val="single"/>
        </w:rPr>
        <w:t xml:space="preserve">             </w:t>
      </w:r>
      <w:r>
        <w:rPr>
          <w:rFonts w:hint="eastAsia" w:ascii="宋体" w:hAnsi="宋体"/>
          <w:sz w:val="24"/>
          <w:szCs w:val="24"/>
        </w:rPr>
        <w:t xml:space="preserve">(签章)      或其委托代理人： </w:t>
      </w:r>
      <w:r>
        <w:rPr>
          <w:rFonts w:hint="eastAsia" w:ascii="宋体" w:hAnsi="宋体"/>
          <w:sz w:val="24"/>
          <w:szCs w:val="24"/>
          <w:u w:val="single"/>
        </w:rPr>
        <w:t xml:space="preserve">         </w:t>
      </w:r>
      <w:r>
        <w:rPr>
          <w:rFonts w:hint="eastAsia" w:ascii="宋体" w:hAnsi="宋体"/>
          <w:sz w:val="24"/>
          <w:szCs w:val="24"/>
        </w:rPr>
        <w:t>（签章）</w:t>
      </w:r>
    </w:p>
    <w:p>
      <w:pPr>
        <w:tabs>
          <w:tab w:val="left" w:pos="1260"/>
        </w:tabs>
        <w:spacing w:line="312" w:lineRule="auto"/>
        <w:jc w:val="left"/>
        <w:rPr>
          <w:rFonts w:ascii="宋体" w:hAnsi="宋体" w:eastAsia="宋体" w:cs="Times New Roman"/>
          <w:szCs w:val="24"/>
        </w:rPr>
      </w:pPr>
      <w:r>
        <w:rPr>
          <w:rFonts w:hint="eastAsia" w:ascii="宋体" w:hAnsi="宋体"/>
          <w:bCs/>
          <w:sz w:val="24"/>
          <w:szCs w:val="24"/>
          <w:u w:val="single"/>
        </w:rPr>
        <w:t>2023</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 xml:space="preserve">日                        </w:t>
      </w:r>
      <w:r>
        <w:rPr>
          <w:rFonts w:hint="eastAsia" w:ascii="宋体" w:hAnsi="宋体"/>
          <w:bCs/>
          <w:sz w:val="24"/>
          <w:szCs w:val="24"/>
          <w:u w:val="single"/>
        </w:rPr>
        <w:t>2023</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pPr>
        <w:rPr>
          <w:rFonts w:ascii="宋体" w:hAnsi="宋体" w:eastAsia="宋体"/>
        </w:rPr>
      </w:pPr>
    </w:p>
    <w:p>
      <w:pPr>
        <w:autoSpaceDE w:val="0"/>
        <w:autoSpaceDN w:val="0"/>
        <w:adjustRightInd w:val="0"/>
        <w:spacing w:line="360" w:lineRule="auto"/>
        <w:ind w:firstLine="200"/>
        <w:jc w:val="center"/>
        <w:rPr>
          <w:rFonts w:ascii="宋体" w:hAnsi="宋体"/>
          <w:b/>
          <w:bCs/>
          <w:sz w:val="24"/>
        </w:rPr>
      </w:pPr>
    </w:p>
    <w:p>
      <w:pPr>
        <w:widowControl/>
        <w:jc w:val="left"/>
        <w:rPr>
          <w:rFonts w:ascii="宋体" w:hAnsi="宋体"/>
          <w:b/>
          <w:bCs/>
          <w:sz w:val="24"/>
        </w:rPr>
      </w:pPr>
      <w:r>
        <w:rPr>
          <w:rFonts w:ascii="宋体" w:hAnsi="宋体"/>
          <w:b/>
          <w:bCs/>
          <w:sz w:val="24"/>
        </w:rPr>
        <w:br w:type="page"/>
      </w:r>
    </w:p>
    <w:p>
      <w:pPr>
        <w:pStyle w:val="121"/>
      </w:pPr>
      <w:bookmarkStart w:id="52" w:name="_Toc70512794"/>
      <w:bookmarkStart w:id="53" w:name="_Toc92976622"/>
      <w:r>
        <w:rPr>
          <w:rFonts w:hint="eastAsia"/>
        </w:rPr>
        <w:t>五</w:t>
      </w:r>
      <w:r>
        <w:rPr>
          <w:rFonts w:hint="eastAsia"/>
          <w:bCs w:val="0"/>
        </w:rPr>
        <w:t>．</w:t>
      </w:r>
      <w:r>
        <w:rPr>
          <w:rFonts w:hint="eastAsia"/>
        </w:rPr>
        <w:t>评分标准</w:t>
      </w:r>
      <w:bookmarkEnd w:id="52"/>
      <w:bookmarkEnd w:id="53"/>
    </w:p>
    <w:p>
      <w:pPr>
        <w:widowControl/>
        <w:rPr>
          <w:rFonts w:ascii="宋体" w:hAnsi="宋体"/>
          <w:bCs/>
          <w:color w:val="000000" w:themeColor="text1"/>
          <w:sz w:val="24"/>
          <w:szCs w:val="24"/>
          <w14:textFill>
            <w14:solidFill>
              <w14:schemeClr w14:val="tx1"/>
            </w14:solidFill>
          </w14:textFill>
        </w:rPr>
      </w:pPr>
    </w:p>
    <w:tbl>
      <w:tblPr>
        <w:tblStyle w:val="3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59"/>
        <w:gridCol w:w="703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7036" w:type="dxa"/>
            <w:tcBorders>
              <w:left w:val="single" w:color="auto" w:sz="4" w:space="0"/>
            </w:tcBorders>
            <w:vAlign w:val="center"/>
          </w:tcPr>
          <w:p>
            <w:pPr>
              <w:ind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价格分计算方法：供应商的价格得分：10分×[1-∣（供应商评标价-评标基准价）/评标基准价∣]，得分保留两位小数。</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评标基准价计算方法：</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①、不足七家（含七家）有效供应商报价的，以实际有效报价数为基准，计算算术平均值。</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②、超过七家有效供应商报价的，去掉一个最高有效报价和一个最低有效报价，其余有效报价数为基准，计算算数平均值。</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投标人自2020年1月1日以来承担过金额大于等于1000万元的交通工程（公路或水运）施工项目工程量清单及招标控制价编制工作的，每有一项得4分，最高得16分。</w:t>
            </w:r>
          </w:p>
          <w:p>
            <w:pPr>
              <w:widowControl/>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证明材料：</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1、造价咨询合同复印件；</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2、金额以单份合同中标金额合计为准，时间以中标公告时间为准，提供中标公告网页截图及网址。</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拟派驻的项目负责人自2020年1月1日以来参与过金额大于等于1000万元的</w:t>
            </w:r>
            <w:r>
              <w:rPr>
                <w:rFonts w:hint="eastAsia" w:asciiTheme="minorEastAsia" w:hAnsiTheme="minorEastAsia" w:eastAsiaTheme="minorEastAsia" w:cstheme="minorEastAsia"/>
                <w:bCs/>
                <w:sz w:val="24"/>
                <w:szCs w:val="24"/>
              </w:rPr>
              <w:t>交通工程（公路或水运）</w:t>
            </w:r>
            <w:r>
              <w:rPr>
                <w:rFonts w:hint="eastAsia" w:asciiTheme="minorEastAsia" w:hAnsiTheme="minorEastAsia" w:eastAsiaTheme="minorEastAsia" w:cstheme="minorEastAsia"/>
                <w:kern w:val="0"/>
                <w:sz w:val="24"/>
                <w:szCs w:val="24"/>
              </w:rPr>
              <w:t>施工项目工程量清单及招标控制价编制工作的，每有一项得4分，最高得16分</w:t>
            </w:r>
          </w:p>
          <w:p>
            <w:pPr>
              <w:widowControl/>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证明材料：</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1、造价咨询合同复印件，人员姓名以合同所载为准；</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2、金额以单份合同中标金额合计为准，时间以中标公告时间为准，提供中标公告网页截图及网址。</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主要人员</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①拟派驻的项目负责人具有一级造价工程师（交通运输工程专业）资格证书得基本分5分；</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②拟派驻的项目负责人具备中级及以上职称加4分；</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②除项目负责人外，再配备1名具有一级造价工程师（交通运输工程专业）资格证书的项目组成员加4分。</w:t>
            </w:r>
          </w:p>
          <w:p>
            <w:pPr>
              <w:widowControl/>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证明材料：</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提供拟投入人员的职称证书、职业资格证书复印件</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对本项目的理解和总体思路</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根据投标人造价咨询方案对本项目的理解和总体思路部分进行评分，要求方案能针对本项目的特点和需求进行分析。</w:t>
            </w:r>
          </w:p>
          <w:p>
            <w:pPr>
              <w:widowControl/>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对项目理解透彻、总体思路清晰，方案有针对性的，得10分；</w:t>
            </w:r>
          </w:p>
          <w:p>
            <w:pPr>
              <w:widowControl/>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对项目理解较为透彻，总体思路较清晰，方案比较有针对性的，得7分；</w:t>
            </w:r>
          </w:p>
          <w:p>
            <w:pPr>
              <w:widowControl/>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对项目理解一般，总体思路尚可，方案针对性较差的，得4分；</w:t>
            </w:r>
          </w:p>
          <w:p>
            <w:pPr>
              <w:widowControl/>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没有相应描述的不得分。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对本项目的特点、关键技术问题的认识及其对策措施</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根据投标人造价咨询方案对本项目的重点难点分析部分进行评分。如有需要，可提供必要的图纸。</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关键技术问题分析透彻，对策措施详细，重点难点分析到位的，得10分；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关键技术问题分析较为透彻，对策措施较详细，重点难点分析比较到位的，得7分；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关键技术问题分析一般，对策措施不够详细，重点难点分析较差的，得4分；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没有相应描述的不得分。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根据投标人造价咨询方案对代理工作质量保证措施部分的阐述进行评分。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质量保证措施部分阐述详细可行，得10分；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质量保证措施部分阐述较为详细，得7分；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质量保证措施部分阐述笼统，可行性一般，得4分；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没有相应描述的不得分。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进度保证措施</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根据投标人造价咨询方案对代理工作进度保证措施部分的阐述进行评分。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进度保证措施部分的阐述详细可行，得10分；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进度保证措施部分阐述较为详细，得7分；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进度保证措施部分阐述笼统，可行性一般，得4分；</w:t>
            </w:r>
          </w:p>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没有相应描述的不得分。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68"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259" w:type="dxa"/>
            <w:tcBorders>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供应商优势</w:t>
            </w:r>
          </w:p>
        </w:tc>
        <w:tc>
          <w:tcPr>
            <w:tcW w:w="7036" w:type="dxa"/>
            <w:tcBorders>
              <w:left w:val="single" w:color="auto" w:sz="4" w:space="0"/>
            </w:tcBorders>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针对本项目提出自身优势所在，并以书面方式表现出来，由评委酌情打分</w:t>
            </w:r>
          </w:p>
        </w:tc>
        <w:tc>
          <w:tcPr>
            <w:tcW w:w="996" w:type="dxa"/>
            <w:tcBorders>
              <w:lef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widowControl/>
        <w:spacing w:line="360" w:lineRule="auto"/>
        <w:rPr>
          <w:rFonts w:asciiTheme="minorEastAsia" w:hAnsiTheme="minorEastAsia"/>
          <w:sz w:val="24"/>
          <w:szCs w:val="24"/>
        </w:rPr>
      </w:pPr>
      <w:r>
        <w:rPr>
          <w:rFonts w:hint="eastAsia" w:asciiTheme="minorEastAsia" w:hAnsiTheme="minorEastAsia"/>
          <w:sz w:val="24"/>
          <w:szCs w:val="24"/>
        </w:rPr>
        <w:t xml:space="preserve">注： </w:t>
      </w:r>
    </w:p>
    <w:p>
      <w:pPr>
        <w:widowControl/>
        <w:spacing w:line="360" w:lineRule="auto"/>
        <w:rPr>
          <w:rFonts w:asciiTheme="minorEastAsia" w:hAnsiTheme="minorEastAsia"/>
          <w:sz w:val="24"/>
          <w:szCs w:val="24"/>
        </w:rPr>
      </w:pPr>
      <w:r>
        <w:rPr>
          <w:rFonts w:hint="eastAsia" w:asciiTheme="minorEastAsia" w:hAnsiTheme="minorEastAsia"/>
          <w:sz w:val="24"/>
          <w:szCs w:val="24"/>
        </w:rPr>
        <w:t>1、评分细则中要求提供的证明文件及资料等在响应文件中提供复印件并加盖公章，过时不予接收。</w:t>
      </w:r>
    </w:p>
    <w:p>
      <w:pPr>
        <w:widowControl/>
        <w:spacing w:line="360" w:lineRule="auto"/>
        <w:rPr>
          <w:rFonts w:asciiTheme="minorEastAsia" w:hAnsiTheme="minorEastAsia"/>
          <w:sz w:val="24"/>
          <w:szCs w:val="24"/>
        </w:rPr>
      </w:pPr>
      <w:r>
        <w:rPr>
          <w:rFonts w:hint="eastAsia" w:asciiTheme="minorEastAsia" w:hAnsiTheme="minorEastAsia"/>
          <w:sz w:val="24"/>
          <w:szCs w:val="24"/>
        </w:rPr>
        <w:t>2、评审时，未能按以上要求提供相应证明的，不作为评分依据，不得分。</w:t>
      </w:r>
    </w:p>
    <w:p>
      <w:pPr>
        <w:widowControl/>
        <w:spacing w:line="360" w:lineRule="auto"/>
        <w:rPr>
          <w:rFonts w:ascii="仿宋" w:hAnsi="仿宋" w:eastAsia="仿宋"/>
          <w:sz w:val="24"/>
          <w:szCs w:val="24"/>
        </w:rPr>
      </w:pPr>
      <w:r>
        <w:rPr>
          <w:rFonts w:hint="eastAsia" w:asciiTheme="minorEastAsia" w:hAnsiTheme="minorEastAsia"/>
          <w:sz w:val="24"/>
          <w:szCs w:val="24"/>
        </w:rPr>
        <w:t>3、为便于评分，请供应商按评分表样式，逐条列出证明材料所在页码，格式自定。</w:t>
      </w:r>
    </w:p>
    <w:p>
      <w:pPr>
        <w:widowControl/>
        <w:jc w:val="center"/>
        <w:rPr>
          <w:rFonts w:ascii="仿宋" w:hAnsi="仿宋" w:eastAsia="仿宋"/>
          <w:sz w:val="24"/>
          <w:szCs w:val="24"/>
        </w:rPr>
        <w:sectPr>
          <w:pgSz w:w="11906" w:h="16838"/>
          <w:pgMar w:top="1239" w:right="1474" w:bottom="1276" w:left="1588" w:header="567" w:footer="476" w:gutter="0"/>
          <w:cols w:space="425" w:num="1"/>
          <w:docGrid w:type="lines" w:linePitch="312" w:charSpace="0"/>
        </w:sectPr>
      </w:pPr>
    </w:p>
    <w:bookmarkEnd w:id="51"/>
    <w:p>
      <w:pPr>
        <w:keepNext/>
        <w:spacing w:line="360" w:lineRule="auto"/>
        <w:jc w:val="center"/>
        <w:outlineLvl w:val="0"/>
        <w:rPr>
          <w:rFonts w:ascii="黑体" w:hAnsi="黑体" w:eastAsia="黑体" w:cs="Times New Roman"/>
          <w:bCs/>
          <w:kern w:val="0"/>
          <w:sz w:val="28"/>
          <w:szCs w:val="28"/>
        </w:rPr>
      </w:pPr>
      <w:bookmarkStart w:id="54" w:name="_Toc55147052"/>
      <w:bookmarkStart w:id="55" w:name="_Toc92976623"/>
      <w:r>
        <w:rPr>
          <w:rFonts w:hint="eastAsia" w:ascii="黑体" w:hAnsi="黑体" w:eastAsia="黑体" w:cs="Times New Roman"/>
          <w:bCs/>
          <w:kern w:val="0"/>
          <w:sz w:val="28"/>
          <w:szCs w:val="28"/>
        </w:rPr>
        <w:t>六．响应文件格式</w:t>
      </w:r>
      <w:bookmarkEnd w:id="54"/>
      <w:bookmarkEnd w:id="55"/>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84"/>
          <w:szCs w:val="84"/>
          <w14:textFill>
            <w14:solidFill>
              <w14:schemeClr w14:val="tx1"/>
            </w14:solidFill>
          </w14:textFill>
        </w:rPr>
      </w:pPr>
      <w:bookmarkStart w:id="56" w:name="_Toc55147053"/>
      <w:r>
        <w:rPr>
          <w:rFonts w:hint="eastAsia" w:ascii="黑体" w:eastAsia="黑体"/>
          <w:bCs/>
          <w:color w:val="000000" w:themeColor="text1"/>
          <w:sz w:val="84"/>
          <w:szCs w:val="84"/>
          <w14:textFill>
            <w14:solidFill>
              <w14:schemeClr w14:val="tx1"/>
            </w14:solidFill>
          </w14:textFill>
        </w:rPr>
        <w:t>响 应 文 件</w:t>
      </w:r>
    </w:p>
    <w:p>
      <w:pPr>
        <w:jc w:val="center"/>
        <w:rPr>
          <w:rFonts w:ascii="黑体" w:eastAsia="黑体"/>
          <w:bCs/>
          <w:color w:val="000000" w:themeColor="text1"/>
          <w:sz w:val="72"/>
          <w14:textFill>
            <w14:solidFill>
              <w14:schemeClr w14:val="tx1"/>
            </w14:solidFill>
          </w14:textFill>
        </w:rPr>
      </w:pPr>
    </w:p>
    <w:p>
      <w:pPr>
        <w:jc w:val="center"/>
        <w:rPr>
          <w:rFonts w:ascii="楷体_GB2312" w:eastAsia="楷体_GB2312"/>
          <w:bCs/>
          <w:color w:val="000000" w:themeColor="text1"/>
          <w:sz w:val="72"/>
          <w14:textFill>
            <w14:solidFill>
              <w14:schemeClr w14:val="tx1"/>
            </w14:solidFill>
          </w14:textFill>
        </w:rPr>
      </w:pPr>
    </w:p>
    <w:p>
      <w:pPr>
        <w:jc w:val="cente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72"/>
          <w14:textFill>
            <w14:solidFill>
              <w14:schemeClr w14:val="tx1"/>
            </w14:solidFill>
          </w14:textFill>
        </w:rPr>
      </w:pPr>
    </w:p>
    <w:p>
      <w:pPr>
        <w:jc w:val="center"/>
        <w:rPr>
          <w:rFonts w:ascii="楷体_GB2312" w:eastAsia="楷体_GB2312"/>
          <w:bCs/>
          <w:color w:val="000000" w:themeColor="text1"/>
          <w:sz w:val="28"/>
          <w14:textFill>
            <w14:solidFill>
              <w14:schemeClr w14:val="tx1"/>
            </w14:solidFill>
          </w14:textFill>
        </w:rPr>
      </w:pPr>
    </w:p>
    <w:p>
      <w:pPr>
        <w:jc w:val="center"/>
        <w:rPr>
          <w:rFonts w:ascii="黑体" w:eastAsia="黑体"/>
          <w:bCs/>
          <w:sz w:val="36"/>
          <w:szCs w:val="36"/>
        </w:rPr>
      </w:pPr>
      <w:r>
        <w:rPr>
          <w:rFonts w:hint="eastAsia" w:ascii="黑体" w:eastAsia="黑体"/>
          <w:bCs/>
          <w:sz w:val="36"/>
          <w:szCs w:val="36"/>
        </w:rPr>
        <w:t>项 目 编 号：</w:t>
      </w:r>
    </w:p>
    <w:p>
      <w:pPr>
        <w:jc w:val="center"/>
        <w:rPr>
          <w:rFonts w:ascii="黑体" w:eastAsia="黑体"/>
          <w:bCs/>
          <w:sz w:val="36"/>
          <w:szCs w:val="36"/>
        </w:rPr>
      </w:pPr>
      <w:r>
        <w:rPr>
          <w:rFonts w:hint="eastAsia" w:ascii="黑体" w:eastAsia="黑体"/>
          <w:bCs/>
          <w:sz w:val="36"/>
          <w:szCs w:val="36"/>
        </w:rPr>
        <w:t>项 目 名 称：</w:t>
      </w:r>
    </w:p>
    <w:p>
      <w:pPr>
        <w:jc w:val="center"/>
        <w:rPr>
          <w:rFonts w:ascii="黑体" w:eastAsia="黑体"/>
          <w:bCs/>
          <w:sz w:val="36"/>
          <w:szCs w:val="36"/>
        </w:rPr>
      </w:pPr>
      <w:r>
        <w:rPr>
          <w:rFonts w:hint="eastAsia" w:ascii="黑体" w:eastAsia="黑体"/>
          <w:bCs/>
          <w:sz w:val="36"/>
          <w:szCs w:val="36"/>
        </w:rPr>
        <w:t>供  应   商：</w:t>
      </w:r>
    </w:p>
    <w:p>
      <w:pPr>
        <w:jc w:val="center"/>
        <w:rPr>
          <w:rFonts w:ascii="黑体" w:eastAsia="黑体"/>
          <w:bCs/>
          <w:sz w:val="36"/>
          <w:szCs w:val="36"/>
        </w:rPr>
      </w:pPr>
      <w:r>
        <w:rPr>
          <w:rFonts w:hint="eastAsia" w:ascii="黑体" w:eastAsia="黑体"/>
          <w:bCs/>
          <w:sz w:val="36"/>
          <w:szCs w:val="36"/>
        </w:rPr>
        <w:t>日       期：</w:t>
      </w:r>
    </w:p>
    <w:p>
      <w:pPr>
        <w:widowControl/>
        <w:jc w:val="left"/>
        <w:rPr>
          <w:rFonts w:ascii="黑体" w:eastAsia="黑体"/>
          <w:bCs/>
          <w:color w:val="000000" w:themeColor="text1"/>
          <w:sz w:val="36"/>
          <w:szCs w:val="36"/>
          <w14:textFill>
            <w14:solidFill>
              <w14:schemeClr w14:val="tx1"/>
            </w14:solidFill>
          </w14:textFill>
        </w:rPr>
      </w:pPr>
    </w:p>
    <w:p>
      <w:pPr>
        <w:widowControl/>
        <w:jc w:val="left"/>
        <w:rPr>
          <w:rFonts w:ascii="黑体" w:hAnsi="黑体" w:eastAsia="黑体"/>
          <w:sz w:val="24"/>
          <w:szCs w:val="24"/>
        </w:rPr>
      </w:pPr>
      <w:r>
        <w:rPr>
          <w:rFonts w:ascii="黑体" w:hAnsi="黑体" w:eastAsia="黑体"/>
          <w:sz w:val="24"/>
          <w:szCs w:val="24"/>
        </w:rPr>
        <w:br w:type="page"/>
      </w:r>
    </w:p>
    <w:bookmarkEnd w:id="56"/>
    <w:p>
      <w:pPr>
        <w:spacing w:line="360" w:lineRule="auto"/>
        <w:rPr>
          <w:rFonts w:ascii="黑体" w:hAnsi="黑体" w:eastAsia="黑体"/>
          <w:sz w:val="28"/>
          <w:szCs w:val="28"/>
        </w:rPr>
      </w:pPr>
      <w:r>
        <w:rPr>
          <w:rFonts w:hint="eastAsia" w:ascii="黑体" w:hAnsi="黑体" w:eastAsia="黑体"/>
          <w:sz w:val="28"/>
          <w:szCs w:val="28"/>
        </w:rPr>
        <w:t>一、供应商情况说明</w:t>
      </w:r>
    </w:p>
    <w:p>
      <w:pPr>
        <w:snapToGrid w:val="0"/>
        <w:spacing w:line="360" w:lineRule="auto"/>
        <w:ind w:firstLine="480" w:firstLineChars="200"/>
        <w:rPr>
          <w:rFonts w:ascii="宋体" w:hAnsi="宋体"/>
          <w:sz w:val="24"/>
          <w:szCs w:val="24"/>
        </w:rPr>
      </w:pPr>
      <w:r>
        <w:rPr>
          <w:rFonts w:hint="eastAsia" w:ascii="宋体" w:hAnsi="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sz w:val="24"/>
          <w:szCs w:val="2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序号</w:t>
            </w:r>
          </w:p>
        </w:tc>
        <w:tc>
          <w:tcPr>
            <w:tcW w:w="5447"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资格审查响应内容</w:t>
            </w:r>
          </w:p>
        </w:tc>
        <w:tc>
          <w:tcPr>
            <w:tcW w:w="1953"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是否响应</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（填是或者否）</w:t>
            </w:r>
          </w:p>
        </w:tc>
        <w:tc>
          <w:tcPr>
            <w:tcW w:w="1785"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响应文件中</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Theme="minorEastAsia" w:hAnsiTheme="minorEastAsia"/>
                <w:b/>
                <w:sz w:val="24"/>
                <w:szCs w:val="24"/>
              </w:rPr>
            </w:pPr>
            <w:r>
              <w:rPr>
                <w:rFonts w:hint="eastAsia" w:asciiTheme="minorEastAsia" w:hAnsiTheme="minorEastAsia"/>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法定代表人资格证明书/法定代表人授权委托书</w:t>
            </w:r>
          </w:p>
        </w:tc>
        <w:tc>
          <w:tcPr>
            <w:tcW w:w="1953" w:type="dxa"/>
            <w:vAlign w:val="center"/>
          </w:tcPr>
          <w:p>
            <w:pPr>
              <w:rPr>
                <w:rFonts w:asciiTheme="minorEastAsia" w:hAnsiTheme="minorEastAsia"/>
                <w:b/>
                <w:sz w:val="24"/>
                <w:szCs w:val="24"/>
              </w:rPr>
            </w:pPr>
          </w:p>
        </w:tc>
        <w:tc>
          <w:tcPr>
            <w:tcW w:w="1785" w:type="dxa"/>
            <w:vAlign w:val="center"/>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具有独立承担民事责任能力的供应商营业执照或相关部门的登记证明文件复印件</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具备履行合同所必需的设备和专业技术能力的书面声明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参加政府采购活动前 3 年内在经营活动中没有重大违法记录的书面声明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5447" w:type="dxa"/>
            <w:vAlign w:val="center"/>
          </w:tcPr>
          <w:p>
            <w:pPr>
              <w:snapToGrid w:val="0"/>
              <w:spacing w:line="0" w:lineRule="atLeas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5447" w:type="dxa"/>
            <w:vAlign w:val="center"/>
          </w:tcPr>
          <w:p>
            <w:pPr>
              <w:snapToGrid w:val="0"/>
              <w:spacing w:line="0" w:lineRule="atLeast"/>
              <w:jc w:val="left"/>
              <w:rPr>
                <w:rFonts w:asciiTheme="minorEastAsia" w:hAnsiTheme="minorEastAsia"/>
                <w:iCs/>
                <w:sz w:val="24"/>
                <w:szCs w:val="24"/>
              </w:rPr>
            </w:pPr>
            <w:r>
              <w:rPr>
                <w:rFonts w:hint="eastAsia" w:ascii="宋体" w:hAnsi="宋体"/>
                <w:sz w:val="24"/>
              </w:rPr>
              <w:t>投标人资格要求涉及的其它证明材料</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rPr>
            </w:pPr>
            <w:r>
              <w:rPr>
                <w:rFonts w:ascii="宋体" w:hAnsi="宋体"/>
              </w:rPr>
              <w:t>…</w:t>
            </w:r>
          </w:p>
        </w:tc>
        <w:tc>
          <w:tcPr>
            <w:tcW w:w="5447" w:type="dxa"/>
            <w:vAlign w:val="center"/>
          </w:tcPr>
          <w:p>
            <w:pPr>
              <w:snapToGrid w:val="0"/>
              <w:spacing w:line="0" w:lineRule="atLeast"/>
              <w:jc w:val="left"/>
              <w:rPr>
                <w:rFonts w:ascii="宋体" w:hAnsi="宋体"/>
                <w:sz w:val="24"/>
              </w:rPr>
            </w:pPr>
            <w:r>
              <w:rPr>
                <w:rFonts w:ascii="宋体" w:hAnsi="宋体"/>
                <w:sz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关于</w:t>
            </w:r>
            <w:r>
              <w:rPr>
                <w:rFonts w:hint="eastAsia" w:asciiTheme="minorEastAsia" w:hAnsiTheme="minorEastAsia"/>
                <w:iCs/>
                <w:sz w:val="24"/>
                <w:szCs w:val="24"/>
              </w:rPr>
              <w:t>资格的声明函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响应函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sz w:val="24"/>
                <w:szCs w:val="24"/>
              </w:rPr>
            </w:pP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bl>
    <w:p>
      <w:pPr>
        <w:spacing w:line="360" w:lineRule="auto"/>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三、资格、资信证明文件</w:t>
      </w:r>
    </w:p>
    <w:p>
      <w:pPr>
        <w:snapToGrid w:val="0"/>
        <w:spacing w:line="360" w:lineRule="auto"/>
        <w:ind w:firstLine="480" w:firstLineChars="200"/>
        <w:rPr>
          <w:rFonts w:ascii="宋体" w:hAnsi="宋体"/>
          <w:sz w:val="24"/>
          <w:szCs w:val="20"/>
        </w:rPr>
      </w:pPr>
      <w:r>
        <w:rPr>
          <w:rFonts w:hint="eastAsia" w:ascii="宋体" w:hAnsi="宋体"/>
          <w:b/>
          <w:bCs/>
          <w:sz w:val="24"/>
          <w:szCs w:val="24"/>
        </w:rPr>
        <w:t>1、资格证明文件目录</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（1）关于资格的声明函（</w:t>
      </w:r>
      <w:r>
        <w:rPr>
          <w:rFonts w:hint="eastAsia" w:ascii="宋体" w:hAnsi="宋体"/>
          <w:b/>
          <w:bCs/>
          <w:color w:val="000000" w:themeColor="text1"/>
          <w:sz w:val="24"/>
          <w:szCs w:val="24"/>
          <w14:textFill>
            <w14:solidFill>
              <w14:schemeClr w14:val="tx1"/>
            </w14:solidFill>
          </w14:textFill>
        </w:rPr>
        <w:t>格式见附件</w:t>
      </w:r>
      <w:r>
        <w:rPr>
          <w:rFonts w:hint="eastAsia" w:ascii="宋体" w:hAnsi="宋体"/>
          <w:bCs/>
          <w:color w:val="000000" w:themeColor="text1"/>
          <w:sz w:val="24"/>
          <w:szCs w:val="24"/>
          <w14:textFill>
            <w14:solidFill>
              <w14:schemeClr w14:val="tx1"/>
            </w14:solidFill>
          </w14:textFill>
        </w:rPr>
        <w:t>）；</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s="宋体"/>
          <w:sz w:val="24"/>
        </w:rPr>
        <w:t>（2）法定代表人资格证明书/法定代表人授权委托书（</w:t>
      </w:r>
      <w:r>
        <w:rPr>
          <w:rFonts w:hint="eastAsia" w:ascii="宋体" w:hAnsi="宋体" w:cs="宋体"/>
          <w:b/>
          <w:sz w:val="24"/>
        </w:rPr>
        <w:t>格式见附件</w:t>
      </w:r>
      <w:r>
        <w:rPr>
          <w:rFonts w:hint="eastAsia" w:ascii="宋体" w:hAnsi="宋体" w:cs="宋体"/>
          <w:sz w:val="24"/>
        </w:rPr>
        <w:t>）；</w:t>
      </w:r>
    </w:p>
    <w:p>
      <w:pPr>
        <w:tabs>
          <w:tab w:val="left" w:pos="630"/>
          <w:tab w:val="left" w:pos="1276"/>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sz w:val="24"/>
        </w:rPr>
      </w:pPr>
      <w:r>
        <w:rPr>
          <w:rFonts w:hint="eastAsia" w:ascii="宋体" w:hAnsi="宋体"/>
          <w:bCs/>
          <w:color w:val="000000" w:themeColor="text1"/>
          <w:sz w:val="24"/>
          <w:szCs w:val="24"/>
          <w14:textFill>
            <w14:solidFill>
              <w14:schemeClr w14:val="tx1"/>
            </w14:solidFill>
          </w14:textFill>
        </w:rPr>
        <w:t>（4）</w:t>
      </w:r>
      <w:r>
        <w:rPr>
          <w:rFonts w:hint="eastAsia" w:ascii="宋体" w:hAnsi="宋体"/>
          <w:sz w:val="24"/>
        </w:rPr>
        <w:t>具备履行合同所必需的设备和专业技术能力的书面声明（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rPr>
        <w:t>（5）参加政府采购活动前 3 年内在经营活动中没有重大违法记录的书面声明（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hAnsi="宋体"/>
          <w:sz w:val="24"/>
        </w:rPr>
      </w:pPr>
      <w:r>
        <w:rPr>
          <w:rFonts w:hint="eastAsia" w:ascii="宋体" w:hAnsi="宋体"/>
          <w:sz w:val="24"/>
        </w:rPr>
        <w:t>（6）采购人要求的特定资质证明（详见“磋商邀请函”-“申请人的资格要求”）。</w:t>
      </w:r>
    </w:p>
    <w:p>
      <w:pPr>
        <w:snapToGrid w:val="0"/>
        <w:spacing w:line="360" w:lineRule="auto"/>
        <w:ind w:firstLine="480" w:firstLineChars="200"/>
        <w:jc w:val="left"/>
        <w:rPr>
          <w:rFonts w:ascii="宋体" w:hAnsi="宋体"/>
          <w:sz w:val="24"/>
          <w:szCs w:val="24"/>
        </w:rPr>
      </w:pPr>
    </w:p>
    <w:p>
      <w:pPr>
        <w:snapToGrid w:val="0"/>
        <w:spacing w:line="360" w:lineRule="auto"/>
        <w:ind w:firstLine="480" w:firstLineChars="200"/>
        <w:jc w:val="left"/>
        <w:rPr>
          <w:rFonts w:ascii="宋体" w:hAnsi="宋体"/>
          <w:sz w:val="24"/>
          <w:szCs w:val="24"/>
        </w:rPr>
      </w:pPr>
      <w:r>
        <w:rPr>
          <w:rFonts w:hint="eastAsia" w:ascii="宋体" w:hAnsi="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b/>
          <w:bCs/>
          <w:sz w:val="24"/>
        </w:rPr>
      </w:pPr>
    </w:p>
    <w:p>
      <w:pPr>
        <w:widowControl/>
        <w:jc w:val="left"/>
        <w:rPr>
          <w:rFonts w:ascii="黑体" w:hAnsi="黑体" w:eastAsia="黑体"/>
          <w:sz w:val="28"/>
          <w:szCs w:val="28"/>
        </w:rPr>
      </w:pPr>
      <w:r>
        <w:rPr>
          <w:rFonts w:ascii="黑体" w:hAnsi="黑体" w:eastAsia="黑体"/>
          <w:sz w:val="28"/>
          <w:szCs w:val="28"/>
        </w:rPr>
        <w:br w:type="page"/>
      </w:r>
    </w:p>
    <w:p>
      <w:pPr>
        <w:spacing w:line="580" w:lineRule="exact"/>
        <w:rPr>
          <w:rFonts w:ascii="黑体" w:hAnsi="黑体" w:eastAsia="黑体"/>
          <w:bCs/>
          <w:color w:val="000000" w:themeColor="text1"/>
          <w:sz w:val="28"/>
          <w:szCs w:val="28"/>
          <w14:textFill>
            <w14:solidFill>
              <w14:schemeClr w14:val="tx1"/>
            </w14:solidFill>
          </w14:textFill>
        </w:rPr>
      </w:pPr>
      <w:r>
        <w:rPr>
          <w:rFonts w:hint="eastAsia" w:ascii="黑体" w:hAnsi="黑体" w:eastAsia="黑体"/>
          <w:sz w:val="28"/>
          <w:szCs w:val="28"/>
        </w:rPr>
        <w:t>四、</w:t>
      </w:r>
      <w:r>
        <w:rPr>
          <w:rFonts w:hint="eastAsia" w:ascii="黑体" w:hAnsi="黑体" w:eastAsia="黑体"/>
          <w:bCs/>
          <w:color w:val="000000" w:themeColor="text1"/>
          <w:sz w:val="28"/>
          <w:szCs w:val="28"/>
          <w14:textFill>
            <w14:solidFill>
              <w14:schemeClr w14:val="tx1"/>
            </w14:solidFill>
          </w14:textFill>
        </w:rPr>
        <w:t>报价一览表</w:t>
      </w:r>
    </w:p>
    <w:p>
      <w:pPr>
        <w:spacing w:line="360" w:lineRule="auto"/>
        <w:rPr>
          <w:rFonts w:ascii="黑体" w:eastAsia="黑体"/>
          <w:bCs/>
          <w:color w:val="000000" w:themeColor="text1"/>
          <w:sz w:val="24"/>
          <w:szCs w:val="24"/>
          <w14:textFill>
            <w14:solidFill>
              <w14:schemeClr w14:val="tx1"/>
            </w14:solidFill>
          </w14:textFill>
        </w:rPr>
      </w:pPr>
    </w:p>
    <w:p>
      <w:pPr>
        <w:spacing w:line="360" w:lineRule="auto"/>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供应商名称（盖章）：</w:t>
      </w:r>
      <w:r>
        <w:rPr>
          <w:rFonts w:hint="eastAsia" w:ascii="黑体" w:eastAsia="黑体"/>
          <w:bCs/>
          <w:color w:val="000000" w:themeColor="text1"/>
          <w:sz w:val="24"/>
          <w:szCs w:val="24"/>
          <w:u w:val="single"/>
          <w14:textFill>
            <w14:solidFill>
              <w14:schemeClr w14:val="tx1"/>
            </w14:solidFill>
          </w14:textFill>
        </w:rPr>
        <w:t xml:space="preserve">              </w:t>
      </w:r>
    </w:p>
    <w:p>
      <w:pPr>
        <w:spacing w:line="360" w:lineRule="auto"/>
        <w:rPr>
          <w:rFonts w:ascii="黑体" w:eastAsia="黑体"/>
          <w:bCs/>
          <w:color w:val="000000" w:themeColor="text1"/>
          <w:sz w:val="24"/>
          <w:szCs w:val="24"/>
          <w:u w:val="single"/>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u w:val="single"/>
          <w14:textFill>
            <w14:solidFill>
              <w14:schemeClr w14:val="tx1"/>
            </w14:solidFill>
          </w14:textFill>
        </w:rPr>
        <w:t xml:space="preserve">                   </w:t>
      </w:r>
    </w:p>
    <w:p>
      <w:pPr>
        <w:spacing w:line="360" w:lineRule="auto"/>
        <w:rPr>
          <w:rFonts w:ascii="黑体" w:eastAsia="黑体"/>
          <w:bCs/>
          <w:color w:val="000000" w:themeColor="text1"/>
          <w:sz w:val="24"/>
          <w:szCs w:val="24"/>
          <w14:textFill>
            <w14:solidFill>
              <w14:schemeClr w14:val="tx1"/>
            </w14:solidFill>
          </w14:textFill>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Times New Roman"/>
                <w:bCs/>
                <w:color w:val="000000" w:themeColor="text1"/>
                <w:kern w:val="0"/>
                <w:sz w:val="24"/>
                <w:szCs w:val="24"/>
                <w:u w:color="000000"/>
                <w14:textFill>
                  <w14:solidFill>
                    <w14:schemeClr w14:val="tx1"/>
                  </w14:solidFill>
                </w14:textFill>
              </w:rPr>
            </w:pPr>
          </w:p>
        </w:tc>
        <w:tc>
          <w:tcPr>
            <w:tcW w:w="4515" w:type="dxa"/>
            <w:vAlign w:val="center"/>
          </w:tcPr>
          <w:p>
            <w:pPr>
              <w:rPr>
                <w:rFonts w:ascii="宋体" w:hAnsi="宋体" w:eastAsia="宋体" w:cs="Times New Roman"/>
                <w:b/>
                <w:color w:val="000000" w:themeColor="text1"/>
                <w:kern w:val="0"/>
                <w:sz w:val="24"/>
                <w:szCs w:val="24"/>
                <w:u w:color="000000"/>
                <w14:textFill>
                  <w14:solidFill>
                    <w14:schemeClr w14:val="tx1"/>
                  </w14:solidFill>
                </w14:textFill>
              </w:rPr>
            </w:pPr>
          </w:p>
        </w:tc>
      </w:tr>
    </w:tbl>
    <w:p>
      <w:pPr>
        <w:spacing w:before="5"/>
        <w:rPr>
          <w:b/>
          <w:bCs/>
          <w:color w:val="000000" w:themeColor="text1"/>
          <w:sz w:val="24"/>
          <w:szCs w:val="24"/>
          <w14:textFill>
            <w14:solidFill>
              <w14:schemeClr w14:val="tx1"/>
            </w14:solidFill>
          </w14:textFill>
        </w:rPr>
      </w:pPr>
    </w:p>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法定代表人或被授权代表（签字或盖章）：</w:t>
      </w:r>
      <w:r>
        <w:rPr>
          <w:rFonts w:hint="eastAsia"/>
          <w:b/>
          <w:bCs/>
          <w:color w:val="000000" w:themeColor="text1"/>
          <w:sz w:val="24"/>
          <w:szCs w:val="24"/>
          <w:u w:val="single"/>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 xml:space="preserve"> </w:t>
      </w:r>
    </w:p>
    <w:p>
      <w:pPr>
        <w:spacing w:line="400" w:lineRule="exact"/>
        <w:rPr>
          <w:rFonts w:ascii="黑体" w:eastAsia="黑体"/>
          <w:bCs/>
          <w:color w:val="000000" w:themeColor="text1"/>
          <w:sz w:val="32"/>
          <w14:textFill>
            <w14:solidFill>
              <w14:schemeClr w14:val="tx1"/>
            </w14:solidFill>
          </w14:textFill>
        </w:rPr>
      </w:pPr>
    </w:p>
    <w:p>
      <w:pPr>
        <w:rPr>
          <w:rFonts w:ascii="黑体" w:hAnsi="黑体" w:eastAsia="黑体"/>
          <w:sz w:val="28"/>
          <w:szCs w:val="28"/>
        </w:rPr>
      </w:pPr>
      <w:r>
        <w:rPr>
          <w:rFonts w:ascii="宋体" w:hAnsi="宋体"/>
          <w:b/>
          <w:sz w:val="44"/>
        </w:rPr>
        <w:br w:type="page"/>
      </w:r>
      <w:r>
        <w:rPr>
          <w:rFonts w:hint="eastAsia" w:ascii="黑体" w:hAnsi="黑体" w:eastAsia="黑体"/>
          <w:sz w:val="28"/>
          <w:szCs w:val="28"/>
        </w:rPr>
        <w:t>五、明细报价表（无）</w:t>
      </w:r>
    </w:p>
    <w:p>
      <w:pPr>
        <w:widowControl/>
        <w:jc w:val="left"/>
        <w:rPr>
          <w:rFonts w:ascii="黑体" w:hAnsi="宋体" w:eastAsia="黑体"/>
          <w:bCs/>
          <w:sz w:val="24"/>
          <w:szCs w:val="24"/>
        </w:rPr>
      </w:pPr>
      <w:r>
        <w:rPr>
          <w:rFonts w:ascii="黑体" w:hAnsi="宋体" w:eastAsia="黑体"/>
          <w:bCs/>
          <w:sz w:val="24"/>
          <w:szCs w:val="24"/>
        </w:rPr>
        <w:br w:type="page"/>
      </w:r>
    </w:p>
    <w:p>
      <w:pPr>
        <w:spacing w:line="360" w:lineRule="auto"/>
        <w:rPr>
          <w:rFonts w:ascii="黑体" w:hAnsi="黑体" w:eastAsia="黑体"/>
          <w:sz w:val="28"/>
          <w:szCs w:val="28"/>
        </w:rPr>
      </w:pPr>
      <w:r>
        <w:rPr>
          <w:rFonts w:hint="eastAsia" w:ascii="黑体" w:hAnsi="黑体" w:eastAsia="黑体"/>
          <w:sz w:val="28"/>
          <w:szCs w:val="28"/>
        </w:rPr>
        <w:t>六、技术参数响应及偏离表</w:t>
      </w:r>
    </w:p>
    <w:p>
      <w:pPr>
        <w:jc w:val="center"/>
        <w:rPr>
          <w:rFonts w:ascii="宋体"/>
          <w:bCs/>
          <w:color w:val="000000" w:themeColor="text1"/>
          <w14:textFill>
            <w14:solidFill>
              <w14:schemeClr w14:val="tx1"/>
            </w14:solidFill>
          </w14:textFill>
        </w:rPr>
      </w:pPr>
    </w:p>
    <w:p>
      <w:pPr>
        <w:jc w:val="center"/>
        <w:rPr>
          <w:rFonts w:ascii="宋体"/>
          <w:bCs/>
          <w:color w:val="000000" w:themeColor="text1"/>
          <w14:textFill>
            <w14:solidFill>
              <w14:schemeClr w14:val="tx1"/>
            </w14:solidFill>
          </w14:textFill>
        </w:rPr>
      </w:pPr>
    </w:p>
    <w:p>
      <w:pPr>
        <w:spacing w:line="400" w:lineRule="exact"/>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供应商名称（盖章）：</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14:textFill>
            <w14:solidFill>
              <w14:schemeClr w14:val="tx1"/>
            </w14:solidFill>
          </w14:textFill>
        </w:rPr>
        <w:t xml:space="preserve">          采购项目编号：</w:t>
      </w:r>
      <w:r>
        <w:rPr>
          <w:rFonts w:hint="eastAsia" w:asciiTheme="minorEastAsia" w:hAnsiTheme="minorEastAsia"/>
          <w:bCs/>
          <w:color w:val="000000" w:themeColor="text1"/>
          <w:sz w:val="24"/>
          <w:szCs w:val="24"/>
          <w:u w:val="single"/>
          <w14:textFill>
            <w14:solidFill>
              <w14:schemeClr w14:val="tx1"/>
            </w14:solidFill>
          </w14:textFill>
        </w:rPr>
        <w:t xml:space="preserve">           </w:t>
      </w:r>
    </w:p>
    <w:p>
      <w:pPr>
        <w:spacing w:line="400" w:lineRule="exact"/>
        <w:rPr>
          <w:rFonts w:ascii="黑体" w:eastAsia="黑体"/>
          <w:bCs/>
          <w:color w:val="000000" w:themeColor="text1"/>
          <w:sz w:val="24"/>
          <w:szCs w:val="24"/>
          <w14:textFill>
            <w14:solidFill>
              <w14:schemeClr w14:val="tx1"/>
            </w14:solidFill>
          </w14:textFill>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14:textFill>
                  <w14:solidFill>
                    <w14:schemeClr w14:val="tx1"/>
                  </w14:solidFill>
                </w14:textFill>
              </w:rPr>
            </w:pPr>
          </w:p>
        </w:tc>
      </w:tr>
    </w:tbl>
    <w:p>
      <w:pPr>
        <w:rPr>
          <w:rFonts w:asciiTheme="minorEastAsia" w:hAnsiTheme="minorEastAsia"/>
          <w:b/>
          <w:color w:val="000000" w:themeColor="text1"/>
          <w:sz w:val="24"/>
          <w:szCs w:val="24"/>
          <w14:textFill>
            <w14:solidFill>
              <w14:schemeClr w14:val="tx1"/>
            </w14:solidFill>
          </w14:textFill>
        </w:rPr>
      </w:pPr>
    </w:p>
    <w:p>
      <w:pPr>
        <w:spacing w:before="5"/>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法定代表人或被授权代表（签字或盖章）：</w:t>
      </w:r>
      <w:r>
        <w:rPr>
          <w:rFonts w:hint="eastAsia" w:asciiTheme="minorEastAsia" w:hAnsi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b/>
          <w:bCs/>
          <w:color w:val="000000" w:themeColor="text1"/>
          <w:sz w:val="24"/>
          <w:szCs w:val="24"/>
          <w14:textFill>
            <w14:solidFill>
              <w14:schemeClr w14:val="tx1"/>
            </w14:solidFill>
          </w14:textFill>
        </w:rPr>
        <w:t xml:space="preserve"> </w:t>
      </w:r>
    </w:p>
    <w:p>
      <w:pPr>
        <w:rPr>
          <w:rFonts w:asciiTheme="minorEastAsia" w:hAnsiTheme="minorEastAsia"/>
          <w:bCs/>
          <w:color w:val="000000" w:themeColor="text1"/>
          <w:sz w:val="30"/>
          <w14:textFill>
            <w14:solidFill>
              <w14:schemeClr w14:val="tx1"/>
            </w14:solidFill>
          </w14:textFill>
        </w:rPr>
      </w:pP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注：</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）本表不得删除；</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）如无任何技术偏离，请于本表 “偏离说明”中注明“无偏离”；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（3）如有技术偏离项，请于本表中列明偏离内容，如需要可自行延长，其余无偏离内容不须赘述。</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widowControl/>
        <w:jc w:val="left"/>
        <w:rPr>
          <w:rFonts w:ascii="宋体" w:hAnsi="宋体"/>
          <w:sz w:val="24"/>
        </w:rPr>
      </w:pPr>
      <w:r>
        <w:rPr>
          <w:rFonts w:ascii="宋体" w:hAnsi="宋体"/>
          <w:sz w:val="24"/>
        </w:rPr>
        <w:br w:type="page"/>
      </w:r>
    </w:p>
    <w:p>
      <w:pPr>
        <w:spacing w:line="360" w:lineRule="auto"/>
        <w:rPr>
          <w:rFonts w:ascii="黑体" w:hAnsi="黑体" w:eastAsia="黑体"/>
          <w:sz w:val="28"/>
          <w:szCs w:val="28"/>
        </w:rPr>
      </w:pPr>
      <w:r>
        <w:rPr>
          <w:rFonts w:hint="eastAsia" w:ascii="黑体" w:hAnsi="黑体" w:eastAsia="黑体"/>
          <w:sz w:val="28"/>
          <w:szCs w:val="28"/>
        </w:rPr>
        <w:t>七、商务条款响应及偏离表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bl>
    <w:p>
      <w:pPr>
        <w:rPr>
          <w:rFonts w:ascii="宋体" w:hAnsi="宋体"/>
          <w:sz w:val="24"/>
        </w:rPr>
      </w:pPr>
    </w:p>
    <w:p>
      <w:pPr>
        <w:spacing w:line="360" w:lineRule="auto"/>
        <w:jc w:val="center"/>
        <w:rPr>
          <w:rFonts w:ascii="宋体" w:hAnsi="宋体"/>
          <w:b/>
          <w:sz w:val="32"/>
          <w:szCs w:val="32"/>
        </w:rPr>
      </w:pPr>
      <w:r>
        <w:rPr>
          <w:rFonts w:ascii="宋体" w:hAnsi="宋体"/>
          <w:b/>
          <w:sz w:val="32"/>
          <w:szCs w:val="32"/>
        </w:rPr>
        <w:br w:type="page"/>
      </w:r>
    </w:p>
    <w:p>
      <w:pPr>
        <w:spacing w:line="360" w:lineRule="auto"/>
        <w:rPr>
          <w:rFonts w:ascii="黑体" w:hAnsi="黑体" w:eastAsia="黑体"/>
          <w:bCs/>
          <w:sz w:val="28"/>
          <w:szCs w:val="28"/>
        </w:rPr>
      </w:pPr>
      <w:r>
        <w:rPr>
          <w:rFonts w:hint="eastAsia" w:ascii="黑体" w:hAnsi="黑体" w:eastAsia="黑体"/>
          <w:sz w:val="28"/>
          <w:szCs w:val="28"/>
        </w:rPr>
        <w:t>八、技术方案</w:t>
      </w:r>
    </w:p>
    <w:p>
      <w:bookmarkStart w:id="57" w:name="_Toc59000746"/>
    </w:p>
    <w:p>
      <w:pPr>
        <w:rPr>
          <w:sz w:val="24"/>
          <w:szCs w:val="24"/>
        </w:rPr>
      </w:pPr>
      <w:r>
        <w:rPr>
          <w:rFonts w:hint="eastAsia"/>
          <w:sz w:val="24"/>
          <w:szCs w:val="24"/>
        </w:rPr>
        <w:t>（内容格式自定）</w:t>
      </w:r>
      <w:bookmarkEnd w:id="57"/>
    </w:p>
    <w:p>
      <w:pPr>
        <w:rPr>
          <w:sz w:val="30"/>
        </w:rPr>
      </w:pPr>
      <w:r>
        <w:rPr>
          <w:rFonts w:hint="eastAsia"/>
          <w:sz w:val="30"/>
        </w:rPr>
        <w:t xml:space="preserve">    </w:t>
      </w:r>
      <w:r>
        <w:rPr>
          <w:sz w:val="30"/>
        </w:rPr>
        <w:t>……</w:t>
      </w:r>
    </w:p>
    <w:p>
      <w:pPr>
        <w:rPr>
          <w:rFonts w:ascii="黑体" w:eastAsia="黑体"/>
          <w:bCs/>
          <w:color w:val="000000" w:themeColor="text1"/>
          <w:kern w:val="0"/>
          <w:sz w:val="24"/>
          <w:szCs w:val="24"/>
          <w14:textFill>
            <w14:solidFill>
              <w14:schemeClr w14:val="tx1"/>
            </w14:solidFill>
          </w14:textFill>
        </w:rPr>
      </w:pPr>
      <w:bookmarkStart w:id="58" w:name="_Toc55147059"/>
      <w:r>
        <w:br w:type="page"/>
      </w:r>
    </w:p>
    <w:bookmarkEnd w:id="58"/>
    <w:p>
      <w:pPr>
        <w:spacing w:line="360" w:lineRule="auto"/>
        <w:rPr>
          <w:rFonts w:ascii="黑体" w:hAnsi="黑体" w:eastAsia="黑体"/>
          <w:bCs/>
          <w:sz w:val="28"/>
          <w:szCs w:val="28"/>
        </w:rPr>
      </w:pPr>
      <w:bookmarkStart w:id="59" w:name="_Toc55147061"/>
      <w:r>
        <w:rPr>
          <w:rFonts w:hint="eastAsia" w:ascii="黑体" w:hAnsi="黑体" w:eastAsia="黑体"/>
          <w:sz w:val="28"/>
          <w:szCs w:val="28"/>
        </w:rPr>
        <w:t>九、其他格式附件</w:t>
      </w:r>
    </w:p>
    <w:p>
      <w:pPr>
        <w:rPr>
          <w:rFonts w:ascii="黑体" w:hAnsi="黑体" w:eastAsia="黑体"/>
          <w:sz w:val="24"/>
          <w:szCs w:val="24"/>
        </w:rPr>
      </w:pPr>
      <w:r>
        <w:rPr>
          <w:rFonts w:hint="eastAsia" w:ascii="黑体" w:hAnsi="黑体" w:eastAsia="黑体"/>
          <w:sz w:val="24"/>
          <w:szCs w:val="24"/>
        </w:rPr>
        <w:t>（一）响应函（格式）</w:t>
      </w: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响应函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致江苏仁禾中衡工程咨询房地产估价有限公司：</w:t>
      </w:r>
    </w:p>
    <w:p>
      <w:pPr>
        <w:spacing w:line="360" w:lineRule="auto"/>
        <w:ind w:firstLine="480" w:firstLineChars="200"/>
        <w:rPr>
          <w:rFonts w:ascii="宋体"/>
          <w:bCs/>
          <w:color w:val="000000" w:themeColor="text1"/>
          <w:sz w:val="24"/>
          <w:szCs w:val="24"/>
          <w14:textFill>
            <w14:solidFill>
              <w14:schemeClr w14:val="tx1"/>
            </w14:solidFill>
          </w14:textFill>
        </w:rPr>
      </w:pP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采购文件，经仔细阅读和研究，我方决定参加此项目的报价。</w:t>
      </w:r>
    </w:p>
    <w:p>
      <w:pPr>
        <w:numPr>
          <w:ilvl w:val="0"/>
          <w:numId w:val="5"/>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我方愿意按照采购文件的一切要求，提供本项目的报价，总价见《报价一览表》。</w:t>
      </w:r>
    </w:p>
    <w:p>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Times New Roman" w:eastAsia="宋体" w:cs="Times New Roman"/>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我方愿意提供采购文件中要求的文件、资料。</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我方同意按采购文件中的规定，本响应文件报价的有效期限为报价截止之日起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如果我方的响应文件被接受，我方将履行采购文件中规定的每一项要求，按期、按质、按量，完成交货任务。</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color w:val="000000" w:themeColor="text1"/>
          <w:sz w:val="24"/>
          <w:szCs w:val="24"/>
          <w14:textFill>
            <w14:solidFill>
              <w14:schemeClr w14:val="tx1"/>
            </w14:solidFill>
          </w14:textFill>
        </w:rPr>
        <w:t>我方愿意遵守《中华人民共</w:t>
      </w:r>
      <w:r>
        <w:rPr>
          <w:rFonts w:hint="eastAsia" w:ascii="宋体" w:hAnsi="宋体"/>
          <w:bCs/>
          <w:sz w:val="24"/>
          <w:szCs w:val="24"/>
        </w:rPr>
        <w:t>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w:t>
      </w:r>
      <w:r>
        <w:rPr>
          <w:rFonts w:hint="eastAsia" w:ascii="宋体" w:hAnsi="宋体"/>
          <w:bCs/>
          <w:color w:val="000000" w:themeColor="text1"/>
          <w:sz w:val="24"/>
          <w:szCs w:val="24"/>
          <w14:textFill>
            <w14:solidFill>
              <w14:schemeClr w14:val="tx1"/>
            </w14:solidFill>
          </w14:textFill>
        </w:rPr>
        <w:t>采购</w:t>
      </w:r>
      <w:r>
        <w:rPr>
          <w:rFonts w:hint="eastAsia" w:ascii="宋体" w:hAnsi="宋体"/>
          <w:bCs/>
          <w:sz w:val="24"/>
          <w:szCs w:val="24"/>
        </w:rPr>
        <w:t>文件所有的规定。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我方愿意按</w:t>
      </w:r>
      <w:r>
        <w:rPr>
          <w:rFonts w:hint="eastAsia" w:ascii="宋体" w:hAnsi="宋体"/>
          <w:bCs/>
          <w:color w:val="000000" w:themeColor="text1"/>
          <w:sz w:val="24"/>
          <w:szCs w:val="24"/>
          <w14:textFill>
            <w14:solidFill>
              <w14:schemeClr w14:val="tx1"/>
            </w14:solidFill>
          </w14:textFill>
        </w:rPr>
        <w:t>采购</w:t>
      </w:r>
      <w:r>
        <w:rPr>
          <w:rFonts w:hint="eastAsia" w:ascii="宋体" w:hAnsi="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如果我方被确定为成交供应商，我方愿意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w:t>
      </w:r>
      <w:r>
        <w:rPr>
          <w:rFonts w:hint="eastAsia" w:ascii="宋体" w:hAnsi="宋体"/>
          <w:bCs/>
          <w:color w:val="000000" w:themeColor="text1"/>
          <w:sz w:val="24"/>
          <w:szCs w:val="24"/>
          <w14:textFill>
            <w14:solidFill>
              <w14:schemeClr w14:val="tx1"/>
            </w14:solidFill>
          </w14:textFill>
        </w:rPr>
        <w:t>采购</w:t>
      </w:r>
      <w:r>
        <w:rPr>
          <w:rFonts w:hint="eastAsia" w:ascii="宋体" w:hAnsi="宋体"/>
          <w:bCs/>
          <w:sz w:val="24"/>
          <w:szCs w:val="24"/>
        </w:rPr>
        <w:t>文件、响应文件和合同条款的，一经查实，我方愿意赔偿由此而造成的一切损失，并同意接受按</w:t>
      </w:r>
      <w:r>
        <w:rPr>
          <w:rFonts w:hint="eastAsia" w:ascii="宋体" w:hAnsi="宋体"/>
          <w:bCs/>
          <w:color w:val="000000" w:themeColor="text1"/>
          <w:sz w:val="24"/>
          <w:szCs w:val="24"/>
          <w14:textFill>
            <w14:solidFill>
              <w14:schemeClr w14:val="tx1"/>
            </w14:solidFill>
          </w14:textFill>
        </w:rPr>
        <w:t>采购</w:t>
      </w:r>
      <w:r>
        <w:rPr>
          <w:rFonts w:hint="eastAsia" w:ascii="宋体" w:hAnsi="宋体"/>
          <w:bCs/>
          <w:sz w:val="24"/>
          <w:szCs w:val="24"/>
        </w:rPr>
        <w:t>文件的相关要求对我方进行的处理。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sz w:val="24"/>
          <w:szCs w:val="24"/>
        </w:rPr>
        <w:t>我方决不提供虚假材料谋取成交、决不采取不正当手段诋毁、排挤其他供应商、决不与采购人、其它供应商或者采购代理机构恶意串通</w:t>
      </w:r>
      <w:r>
        <w:rPr>
          <w:rFonts w:hint="eastAsia" w:ascii="宋体" w:hAnsi="宋体"/>
          <w:bCs/>
          <w:color w:val="000000" w:themeColor="text1"/>
          <w:sz w:val="24"/>
          <w:szCs w:val="24"/>
          <w14:textFill>
            <w14:solidFill>
              <w14:schemeClr w14:val="tx1"/>
            </w14:solidFill>
          </w14:textFill>
        </w:rPr>
        <w:t>、决不向采购人、</w:t>
      </w:r>
      <w:r>
        <w:rPr>
          <w:rFonts w:hint="eastAsia" w:ascii="宋体" w:hAnsi="宋体"/>
          <w:bCs/>
          <w:sz w:val="24"/>
          <w:szCs w:val="24"/>
        </w:rPr>
        <w:t>采购代理机构</w:t>
      </w:r>
      <w:r>
        <w:rPr>
          <w:rFonts w:hint="eastAsia" w:ascii="宋体" w:hAnsi="宋体"/>
          <w:bCs/>
          <w:color w:val="000000" w:themeColor="text1"/>
          <w:sz w:val="24"/>
          <w:szCs w:val="24"/>
          <w14:textFill>
            <w14:solidFill>
              <w14:schemeClr w14:val="tx1"/>
            </w14:solidFill>
          </w14:textFill>
        </w:rPr>
        <w:t>工作人员和评委进行商业贿赂、决不在采购过程中与采购人进行协商谈判、决不拒绝有关部门监督检查或提供虚假情况，如有违反，无条件接受贵方及相关管理部门的处罚。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电话：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通讯地址：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bookmarkStart w:id="60" w:name="_Toc55147054"/>
    </w:p>
    <w:p>
      <w:pPr>
        <w:widowControl/>
        <w:jc w:val="left"/>
        <w:rPr>
          <w:rFonts w:ascii="黑体" w:hAnsi="黑体" w:eastAsia="黑体"/>
          <w:sz w:val="24"/>
          <w:szCs w:val="24"/>
        </w:rPr>
      </w:pPr>
      <w:r>
        <w:rPr>
          <w:rFonts w:ascii="黑体" w:hAnsi="黑体" w:eastAsia="黑体"/>
          <w:sz w:val="24"/>
          <w:szCs w:val="24"/>
        </w:rPr>
        <w:br w:type="page"/>
      </w:r>
    </w:p>
    <w:p>
      <w:pPr>
        <w:rPr>
          <w:rFonts w:ascii="黑体" w:hAnsi="黑体" w:eastAsia="黑体"/>
          <w:sz w:val="24"/>
          <w:szCs w:val="24"/>
        </w:rPr>
      </w:pPr>
      <w:r>
        <w:rPr>
          <w:rFonts w:hint="eastAsia" w:ascii="黑体" w:hAnsi="黑体" w:eastAsia="黑体"/>
          <w:sz w:val="24"/>
          <w:szCs w:val="24"/>
        </w:rPr>
        <w:t>（二）</w:t>
      </w:r>
      <w:bookmarkEnd w:id="60"/>
      <w:r>
        <w:rPr>
          <w:rFonts w:hint="eastAsia" w:ascii="黑体" w:hAnsi="黑体" w:eastAsia="黑体"/>
          <w:sz w:val="24"/>
          <w:szCs w:val="24"/>
        </w:rPr>
        <w:t>关于资格的声明函（格式）</w:t>
      </w:r>
    </w:p>
    <w:p>
      <w:pPr>
        <w:spacing w:line="360" w:lineRule="auto"/>
        <w:rPr>
          <w:rFonts w:ascii="黑体" w:eastAsia="黑体"/>
          <w:bCs/>
          <w:color w:val="000000" w:themeColor="text1"/>
          <w:sz w:val="36"/>
          <w14:textFill>
            <w14:solidFill>
              <w14:schemeClr w14:val="tx1"/>
            </w14:solidFill>
          </w14:textFill>
        </w:rPr>
      </w:pPr>
    </w:p>
    <w:p>
      <w:pPr>
        <w:spacing w:line="480" w:lineRule="auto"/>
        <w:ind w:firstLine="560" w:firstLineChars="200"/>
        <w:jc w:val="center"/>
        <w:rPr>
          <w:rFonts w:ascii="黑体" w:hAnsi="黑体" w:eastAsia="黑体"/>
          <w:bCs/>
          <w:color w:val="000000" w:themeColor="text1"/>
          <w:sz w:val="28"/>
          <w:szCs w:val="28"/>
          <w14:textFill>
            <w14:solidFill>
              <w14:schemeClr w14:val="tx1"/>
            </w14:solidFill>
          </w14:textFill>
        </w:rPr>
      </w:pPr>
      <w:bookmarkStart w:id="61" w:name="报价方关于资格的声明函（格式）"/>
      <w:bookmarkEnd w:id="61"/>
      <w:r>
        <w:rPr>
          <w:rFonts w:hint="eastAsia" w:ascii="黑体" w:hAnsi="黑体" w:eastAsia="黑体"/>
          <w:bCs/>
          <w:color w:val="000000" w:themeColor="text1"/>
          <w:sz w:val="28"/>
          <w:szCs w:val="28"/>
          <w14:textFill>
            <w14:solidFill>
              <w14:schemeClr w14:val="tx1"/>
            </w14:solidFill>
          </w14:textFill>
        </w:rPr>
        <w:t>关于资格的声明函</w:t>
      </w:r>
    </w:p>
    <w:p>
      <w:pPr>
        <w:spacing w:line="480" w:lineRule="auto"/>
        <w:jc w:val="center"/>
        <w:rPr>
          <w:rFonts w:ascii="宋体"/>
          <w:bCs/>
          <w:color w:val="000000" w:themeColor="text1"/>
          <w:sz w:val="24"/>
          <w:szCs w:val="24"/>
          <w14:textFill>
            <w14:solidFill>
              <w14:schemeClr w14:val="tx1"/>
            </w14:solidFill>
          </w14:textFill>
        </w:rPr>
      </w:pPr>
    </w:p>
    <w:p>
      <w:pPr>
        <w:spacing w:line="360" w:lineRule="auto"/>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江苏仁禾中衡工程咨询房地产估价有限公司：</w:t>
      </w:r>
    </w:p>
    <w:p>
      <w:pPr>
        <w:spacing w:line="360" w:lineRule="auto"/>
        <w:rPr>
          <w:rFonts w:asciiTheme="minorEastAsia" w:hAnsiTheme="minorEastAsia"/>
          <w:bCs/>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我公司（单位）参加本次项目（项目编号：</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14:textFill>
            <w14:solidFill>
              <w14:schemeClr w14:val="tx1"/>
            </w14:solidFill>
          </w14:textFill>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Theme="minorEastAsia" w:hAnsiTheme="minorEastAsia"/>
          <w:bCs/>
          <w:color w:val="000000" w:themeColor="text1"/>
          <w:sz w:val="24"/>
          <w:szCs w:val="24"/>
          <w14:textFill>
            <w14:solidFill>
              <w14:schemeClr w14:val="tx1"/>
            </w14:solidFill>
          </w14:textFill>
        </w:rPr>
      </w:pPr>
    </w:p>
    <w:p>
      <w:pPr>
        <w:spacing w:line="360" w:lineRule="auto"/>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供应商（盖章）：</w:t>
      </w:r>
    </w:p>
    <w:p>
      <w:pPr>
        <w:spacing w:line="360" w:lineRule="auto"/>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法定代表人或法定代表人授权代表（签字或盖章）：</w:t>
      </w:r>
    </w:p>
    <w:p>
      <w:pPr>
        <w:spacing w:line="360" w:lineRule="auto"/>
        <w:rPr>
          <w:rFonts w:asciiTheme="minorEastAsia" w:hAnsiTheme="minorEastAsia"/>
          <w:bCs/>
          <w:color w:val="000000" w:themeColor="text1"/>
          <w:sz w:val="24"/>
          <w:szCs w:val="24"/>
          <w14:textFill>
            <w14:solidFill>
              <w14:schemeClr w14:val="tx1"/>
            </w14:solidFill>
          </w14:textFill>
        </w:rPr>
      </w:pPr>
      <w:r>
        <w:rPr>
          <w:rFonts w:asciiTheme="minorEastAsia" w:hAnsiTheme="minorEastAsia"/>
          <w:sz w:val="24"/>
          <w:szCs w:val="24"/>
        </w:rPr>
        <w:t>日期：</w:t>
      </w:r>
      <w:r>
        <w:rPr>
          <w:rFonts w:hint="eastAsia" w:asciiTheme="minorEastAsia" w:hAnsiTheme="minorEastAsia"/>
          <w:bCs/>
          <w:sz w:val="24"/>
          <w:u w:val="single"/>
        </w:rPr>
        <w:t xml:space="preserve"> ______</w:t>
      </w:r>
      <w:r>
        <w:rPr>
          <w:rFonts w:hint="eastAsia" w:asciiTheme="minorEastAsia" w:hAnsiTheme="minorEastAsia"/>
          <w:bCs/>
          <w:sz w:val="24"/>
        </w:rPr>
        <w:t>年</w:t>
      </w:r>
      <w:r>
        <w:rPr>
          <w:rFonts w:hint="eastAsia" w:asciiTheme="minorEastAsia" w:hAnsiTheme="minorEastAsia"/>
          <w:bCs/>
          <w:sz w:val="24"/>
          <w:u w:val="single"/>
        </w:rPr>
        <w:t xml:space="preserve">    </w:t>
      </w:r>
      <w:r>
        <w:rPr>
          <w:rFonts w:hint="eastAsia" w:asciiTheme="minorEastAsia" w:hAnsiTheme="minorEastAsia"/>
          <w:bCs/>
          <w:sz w:val="24"/>
        </w:rPr>
        <w:t>月</w:t>
      </w:r>
      <w:r>
        <w:rPr>
          <w:rFonts w:hint="eastAsia" w:asciiTheme="minorEastAsia" w:hAnsiTheme="minorEastAsia"/>
          <w:bCs/>
          <w:sz w:val="24"/>
          <w:u w:val="single"/>
        </w:rPr>
        <w:t xml:space="preserve">    </w:t>
      </w:r>
      <w:r>
        <w:rPr>
          <w:rFonts w:hint="eastAsia" w:asciiTheme="minorEastAsia" w:hAnsiTheme="minorEastAsia"/>
          <w:bCs/>
          <w:sz w:val="24"/>
        </w:rPr>
        <w:t>日</w:t>
      </w: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备注：上述所称“重大违法记录”,是指供应商因违法经营受到刑事处罚或者责令停产停业、吊销许可证或者执照、较大数额罚款等行政处罚。</w:t>
      </w:r>
    </w:p>
    <w:p>
      <w:pPr>
        <w:widowControl/>
        <w:jc w:val="left"/>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br w:type="page"/>
      </w:r>
    </w:p>
    <w:p>
      <w:pPr>
        <w:rPr>
          <w:rFonts w:ascii="黑体" w:hAnsi="黑体" w:eastAsia="黑体"/>
          <w:sz w:val="24"/>
          <w:szCs w:val="24"/>
        </w:rPr>
      </w:pPr>
      <w:r>
        <w:rPr>
          <w:rFonts w:hint="eastAsia" w:ascii="黑体" w:hAnsi="黑体" w:eastAsia="黑体"/>
          <w:sz w:val="24"/>
          <w:szCs w:val="24"/>
        </w:rPr>
        <w:t>（三）联合体协议（格式）</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jc w:val="center"/>
        <w:rPr>
          <w:rFonts w:ascii="宋体" w:hAnsi="宋体"/>
          <w:bCs/>
          <w:sz w:val="24"/>
          <w:szCs w:val="21"/>
        </w:rPr>
      </w:pPr>
      <w:r>
        <w:rPr>
          <w:rFonts w:hint="eastAsia" w:ascii="宋体" w:hAnsi="宋体"/>
          <w:bCs/>
          <w:sz w:val="24"/>
          <w:szCs w:val="21"/>
        </w:rPr>
        <w:t>本项目无</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560" w:lineRule="exact"/>
        <w:ind w:firstLine="240" w:firstLineChars="100"/>
        <w:rPr>
          <w:rFonts w:ascii="宋体" w:hAnsi="宋体"/>
          <w:sz w:val="24"/>
          <w:szCs w:val="21"/>
        </w:rPr>
      </w:pPr>
    </w:p>
    <w:p>
      <w:pPr>
        <w:widowControl/>
        <w:jc w:val="left"/>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br w:type="page"/>
      </w:r>
    </w:p>
    <w:p>
      <w:pPr>
        <w:widowControl/>
        <w:jc w:val="left"/>
        <w:rPr>
          <w:rFonts w:ascii="黑体" w:hAnsi="宋体" w:eastAsia="黑体"/>
          <w:bCs/>
          <w:color w:val="000000" w:themeColor="text1"/>
          <w:sz w:val="24"/>
          <w:szCs w:val="24"/>
          <w14:textFill>
            <w14:solidFill>
              <w14:schemeClr w14:val="tx1"/>
            </w14:solidFill>
          </w14:textFill>
        </w:rPr>
      </w:pPr>
      <w:bookmarkStart w:id="62" w:name="_Toc55147055"/>
      <w:r>
        <w:rPr>
          <w:rFonts w:hint="eastAsia" w:ascii="黑体" w:hAnsi="宋体" w:eastAsia="黑体"/>
          <w:bCs/>
          <w:color w:val="000000" w:themeColor="text1"/>
          <w:sz w:val="24"/>
          <w:szCs w:val="24"/>
          <w14:textFill>
            <w14:solidFill>
              <w14:schemeClr w14:val="tx1"/>
            </w14:solidFill>
          </w14:textFill>
        </w:rPr>
        <w:t>（四）法定代表人资格证明书/法定代表人授权委托书</w:t>
      </w:r>
      <w:bookmarkEnd w:id="62"/>
      <w:r>
        <w:rPr>
          <w:rFonts w:hint="eastAsia" w:ascii="黑体" w:hAnsi="黑体" w:eastAsia="黑体"/>
          <w:sz w:val="24"/>
          <w:szCs w:val="24"/>
        </w:rPr>
        <w:t>（格式）</w:t>
      </w:r>
    </w:p>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法定代表人资格证明书</w:t>
      </w:r>
    </w:p>
    <w:p>
      <w:pPr>
        <w:spacing w:line="580" w:lineRule="exact"/>
        <w:jc w:val="center"/>
        <w:rPr>
          <w:rFonts w:ascii="黑体" w:hAnsi="黑体" w:eastAsia="黑体"/>
          <w:bCs/>
          <w:color w:val="000000" w:themeColor="text1"/>
          <w:sz w:val="28"/>
          <w:szCs w:val="28"/>
          <w14:textFill>
            <w14:solidFill>
              <w14:schemeClr w14:val="tx1"/>
            </w14:solidFill>
          </w14:textFill>
        </w:rPr>
      </w:pPr>
    </w:p>
    <w:p>
      <w:pPr>
        <w:spacing w:line="560" w:lineRule="exact"/>
        <w:rPr>
          <w:rFonts w:ascii="宋体" w:hAnsi="宋体"/>
          <w:sz w:val="24"/>
        </w:rPr>
      </w:pPr>
      <w:r>
        <w:rPr>
          <w:rFonts w:hint="eastAsia" w:ascii="宋体" w:hAnsi="宋体"/>
          <w:sz w:val="24"/>
        </w:rPr>
        <w:t>姓名</w:t>
      </w:r>
      <w:r>
        <w:rPr>
          <w:rFonts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性别</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年龄</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职务</w:t>
      </w:r>
      <w:r>
        <w:rPr>
          <w:rFonts w:ascii="宋体" w:hAnsi="宋体"/>
          <w:sz w:val="24"/>
        </w:rPr>
        <w:t>：</w:t>
      </w:r>
    </w:p>
    <w:p>
      <w:pPr>
        <w:spacing w:line="360" w:lineRule="auto"/>
        <w:rPr>
          <w:rFonts w:asciiTheme="minorEastAsia" w:hAnsiTheme="minorEastAsia"/>
          <w:sz w:val="24"/>
        </w:rPr>
      </w:pPr>
      <w:r>
        <w:rPr>
          <w:rFonts w:hint="eastAsia" w:asciiTheme="minorEastAsia" w:hAnsiTheme="minorEastAsia"/>
          <w:sz w:val="24"/>
        </w:rPr>
        <w:t>系</w:t>
      </w:r>
      <w:r>
        <w:rPr>
          <w:rFonts w:asciiTheme="minorEastAsia" w:hAnsiTheme="minorEastAsia"/>
          <w:sz w:val="24"/>
          <w:u w:val="single"/>
        </w:rPr>
        <w:t xml:space="preserve">            </w:t>
      </w:r>
      <w:r>
        <w:rPr>
          <w:rFonts w:hint="eastAsia" w:asciiTheme="minorEastAsia" w:hAnsiTheme="minorEastAsia"/>
          <w:sz w:val="24"/>
        </w:rPr>
        <w:t>（供应商名称）的法定代表人。为实施</w:t>
      </w:r>
      <w:r>
        <w:rPr>
          <w:rFonts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rPr>
        <w:t>项目（</w:t>
      </w:r>
      <w:r>
        <w:rPr>
          <w:rFonts w:hint="eastAsia" w:asciiTheme="minorEastAsia" w:hAnsiTheme="minorEastAsia"/>
          <w:bCs/>
          <w:color w:val="000000" w:themeColor="text1"/>
          <w:sz w:val="24"/>
          <w:szCs w:val="24"/>
          <w14:textFill>
            <w14:solidFill>
              <w14:schemeClr w14:val="tx1"/>
            </w14:solidFill>
          </w14:textFill>
        </w:rPr>
        <w:t>项目编号：</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sz w:val="24"/>
        </w:rPr>
        <w:t>）的工作，签署上述项目的响应文件、进行合同谈判、签署合同和处理与之有关的一切事务。</w:t>
      </w:r>
    </w:p>
    <w:p>
      <w:pPr>
        <w:spacing w:line="360" w:lineRule="auto"/>
        <w:rPr>
          <w:rFonts w:asciiTheme="minorEastAsia" w:hAnsiTheme="minorEastAsia"/>
          <w:sz w:val="24"/>
        </w:rPr>
      </w:pPr>
      <w:r>
        <w:rPr>
          <w:rFonts w:hint="eastAsia" w:asciiTheme="minorEastAsia" w:hAnsiTheme="minorEastAsia"/>
          <w:sz w:val="24"/>
        </w:rPr>
        <w:t>特此证明。</w:t>
      </w:r>
    </w:p>
    <w:p>
      <w:pPr>
        <w:spacing w:line="560" w:lineRule="exact"/>
        <w:rPr>
          <w:rFonts w:ascii="宋体" w:hAnsi="宋体"/>
          <w:sz w:val="24"/>
        </w:rPr>
      </w:pPr>
    </w:p>
    <w:p>
      <w:pPr>
        <w:spacing w:line="560" w:lineRule="exact"/>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供应商：（公章）</w:t>
      </w:r>
    </w:p>
    <w:p>
      <w:pPr>
        <w:spacing w:line="360" w:lineRule="auto"/>
        <w:rPr>
          <w:rFonts w:ascii="宋体" w:hAnsi="宋体"/>
          <w:sz w:val="24"/>
        </w:rPr>
      </w:pPr>
      <w:r>
        <w:rPr>
          <w:rFonts w:ascii="宋体" w:hAnsi="宋体"/>
          <w:sz w:val="24"/>
        </w:rPr>
        <w:t xml:space="preserve">                       </w:t>
      </w:r>
      <w:r>
        <w:rPr>
          <w:rFonts w:hint="eastAsia" w:ascii="宋体" w:hAnsi="宋体"/>
          <w:sz w:val="24"/>
        </w:rPr>
        <w:t>法定代表人签字或盖章：</w:t>
      </w:r>
    </w:p>
    <w:p>
      <w:pPr>
        <w:spacing w:line="360" w:lineRule="auto"/>
        <w:ind w:firstLine="4320" w:firstLineChars="1800"/>
        <w:rPr>
          <w:rFonts w:ascii="宋体" w:hAnsi="宋体"/>
          <w:sz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napToGrid w:val="0"/>
        <w:spacing w:line="560" w:lineRule="exact"/>
        <w:rPr>
          <w:rFonts w:ascii="宋体" w:hAnsi="宋体"/>
          <w:sz w:val="24"/>
        </w:rPr>
      </w:pPr>
    </w:p>
    <w:p>
      <w:pPr>
        <w:snapToGrid w:val="0"/>
        <w:spacing w:line="560" w:lineRule="exact"/>
        <w:rPr>
          <w:rFonts w:ascii="宋体" w:hAnsi="宋体"/>
          <w:b/>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sz w:val="24"/>
        </w:rPr>
      </w:pPr>
      <w:r>
        <w:rPr>
          <w:rFonts w:hint="eastAsia" w:ascii="宋体" w:hAnsi="宋体"/>
          <w:sz w:val="24"/>
        </w:rPr>
        <w:t>法定代表人身份证</w:t>
      </w:r>
    </w:p>
    <w:p>
      <w:pPr>
        <w:autoSpaceDE w:val="0"/>
        <w:autoSpaceDN w:val="0"/>
        <w:adjustRightInd w:val="0"/>
        <w:rPr>
          <w:rFonts w:ascii="宋体" w:hAnsi="宋体"/>
          <w:sz w:val="24"/>
        </w:rPr>
      </w:pPr>
      <w:r>
        <w:rPr>
          <w:rFonts w:hint="eastAsia" w:ascii="宋体" w:hAnsi="宋体"/>
          <w:sz w:val="24"/>
        </w:rPr>
        <w:t>（双面复印件）粘贴处</w:t>
      </w: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widowControl/>
        <w:jc w:val="left"/>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br w:type="page"/>
      </w:r>
    </w:p>
    <w:p>
      <w:pPr>
        <w:spacing w:line="580" w:lineRule="exact"/>
        <w:jc w:val="center"/>
        <w:rPr>
          <w:rFonts w:ascii="黑体" w:hAnsi="黑体" w:eastAsia="黑体"/>
          <w:bCs/>
          <w:color w:val="000000" w:themeColor="text1"/>
          <w:sz w:val="28"/>
          <w:szCs w:val="28"/>
          <w14:textFill>
            <w14:solidFill>
              <w14:schemeClr w14:val="tx1"/>
            </w14:solidFill>
          </w14:textFill>
        </w:rPr>
      </w:pPr>
      <w:bookmarkStart w:id="63" w:name="_Toc55147056"/>
      <w:r>
        <w:rPr>
          <w:rFonts w:hint="eastAsia" w:ascii="黑体" w:hAns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360" w:lineRule="auto"/>
        <w:ind w:firstLine="480" w:firstLineChars="200"/>
        <w:rPr>
          <w:rFonts w:ascii="宋体" w:hAnsi="宋体"/>
          <w:sz w:val="24"/>
        </w:rPr>
      </w:pPr>
      <w:r>
        <w:rPr>
          <w:rFonts w:hint="eastAsia" w:ascii="宋体" w:hAnsi="宋体"/>
          <w:sz w:val="24"/>
        </w:rPr>
        <w:t>本授权委托书声明：</w:t>
      </w:r>
    </w:p>
    <w:p>
      <w:pPr>
        <w:spacing w:line="360" w:lineRule="auto"/>
        <w:ind w:firstLine="480" w:firstLineChars="200"/>
        <w:rPr>
          <w:rFonts w:ascii="宋体" w:hAnsi="宋体"/>
          <w:sz w:val="24"/>
        </w:rPr>
      </w:pPr>
      <w:r>
        <w:rPr>
          <w:rFonts w:ascii="宋体" w:hAnsi="宋体"/>
          <w:sz w:val="24"/>
          <w:u w:val="single"/>
        </w:rPr>
        <w:t>______________________</w:t>
      </w:r>
      <w:r>
        <w:rPr>
          <w:rFonts w:hint="eastAsia" w:ascii="宋体" w:hAnsi="宋体"/>
          <w:sz w:val="24"/>
        </w:rPr>
        <w:t>（供应商名称）的</w:t>
      </w:r>
      <w:r>
        <w:rPr>
          <w:rFonts w:ascii="宋体" w:hAnsi="宋体"/>
          <w:sz w:val="24"/>
          <w:u w:val="single"/>
        </w:rPr>
        <w:t>____________</w:t>
      </w:r>
      <w:r>
        <w:rPr>
          <w:rFonts w:hint="eastAsia" w:ascii="宋体" w:hAnsi="宋体"/>
          <w:sz w:val="24"/>
        </w:rPr>
        <w:t>（法定代表人姓名、职务）代表供应商授权</w:t>
      </w:r>
      <w:r>
        <w:rPr>
          <w:rFonts w:ascii="宋体" w:hAnsi="宋体"/>
          <w:sz w:val="24"/>
          <w:u w:val="single"/>
        </w:rPr>
        <w:t>_____________</w:t>
      </w:r>
      <w:r>
        <w:rPr>
          <w:rFonts w:hint="eastAsia" w:ascii="宋体" w:hAnsi="宋体"/>
          <w:sz w:val="24"/>
        </w:rPr>
        <w:t>（被授权代表姓名）为</w:t>
      </w:r>
      <w:r>
        <w:rPr>
          <w:rFonts w:hint="eastAsia" w:ascii="宋体" w:hAnsi="宋体"/>
          <w:sz w:val="24"/>
          <w:u w:val="single"/>
        </w:rPr>
        <w:t xml:space="preserve">                  项目</w:t>
      </w:r>
      <w:r>
        <w:rPr>
          <w:rFonts w:hint="eastAsia" w:ascii="宋体" w:hAnsi="宋体"/>
          <w:sz w:val="24"/>
        </w:rPr>
        <w:t>（</w:t>
      </w:r>
      <w:r>
        <w:rPr>
          <w:rFonts w:hint="eastAsia" w:ascii="黑体" w:eastAsia="黑体"/>
          <w:bCs/>
          <w:color w:val="000000" w:themeColor="text1"/>
          <w:sz w:val="24"/>
          <w:szCs w:val="24"/>
          <w14:textFill>
            <w14:solidFill>
              <w14:schemeClr w14:val="tx1"/>
            </w14:solidFill>
          </w14:textFill>
        </w:rPr>
        <w:t>项目编号：</w:t>
      </w:r>
      <w:r>
        <w:rPr>
          <w:rFonts w:hint="eastAsia" w:ascii="黑体" w:eastAsia="黑体"/>
          <w:bCs/>
          <w:color w:val="000000" w:themeColor="text1"/>
          <w:sz w:val="24"/>
          <w:szCs w:val="24"/>
          <w:u w:val="single"/>
          <w14:textFill>
            <w14:solidFill>
              <w14:schemeClr w14:val="tx1"/>
            </w14:solidFill>
          </w14:textFill>
        </w:rPr>
        <w:t xml:space="preserve">               </w:t>
      </w:r>
      <w:r>
        <w:rPr>
          <w:rFonts w:hint="eastAsia" w:ascii="宋体" w:hAnsi="宋体"/>
          <w:sz w:val="24"/>
        </w:rPr>
        <w:t>）报价的合法代理人，全权负责参加本次政府采购项目的报价、</w:t>
      </w:r>
      <w:r>
        <w:rPr>
          <w:rFonts w:hint="eastAsia" w:ascii="宋体" w:hAnsi="宋体"/>
          <w:bCs/>
          <w:color w:val="000000" w:themeColor="text1"/>
          <w:sz w:val="24"/>
          <w:szCs w:val="24"/>
          <w14:textFill>
            <w14:solidFill>
              <w14:schemeClr w14:val="tx1"/>
            </w14:solidFill>
          </w14:textFill>
        </w:rPr>
        <w:t>参与协商、签约</w:t>
      </w:r>
      <w:r>
        <w:rPr>
          <w:rFonts w:hint="eastAsia" w:ascii="宋体" w:hAnsi="宋体"/>
          <w:sz w:val="24"/>
        </w:rPr>
        <w:t>以及与之相关的各项工作。本供应商对代理人的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bCs/>
          <w:color w:val="000000" w:themeColor="text1"/>
          <w:sz w:val="24"/>
          <w:szCs w:val="24"/>
          <w14:textFill>
            <w14:solidFill>
              <w14:schemeClr w14:val="tx1"/>
            </w14:solidFill>
          </w14:textFill>
        </w:rPr>
      </w:pP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360" w:lineRule="auto"/>
        <w:ind w:firstLine="676" w:firstLineChars="282"/>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性别：</w:t>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电话：</w:t>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ab/>
      </w:r>
      <w:r>
        <w:rPr>
          <w:rFonts w:hint="eastAsia" w:ascii="宋体" w:hAnsi="宋体"/>
          <w:bCs/>
          <w:color w:val="000000" w:themeColor="text1"/>
          <w:sz w:val="24"/>
          <w:szCs w:val="24"/>
          <w14:textFill>
            <w14:solidFill>
              <w14:schemeClr w14:val="tx1"/>
            </w14:solidFill>
          </w14:textFill>
        </w:rPr>
        <w:t>职务：</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ind w:firstLine="480" w:firstLineChars="200"/>
        <w:rPr>
          <w:rFonts w:ascii="宋体" w:hAnsi="宋体"/>
          <w:bCs/>
          <w:color w:val="000000" w:themeColor="text1"/>
          <w:sz w:val="24"/>
          <w:szCs w:val="24"/>
          <w14:textFill>
            <w14:solidFill>
              <w14:schemeClr w14:val="tx1"/>
            </w14:solidFill>
          </w14:textFill>
        </w:rPr>
      </w:pP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r>
        <w:rPr>
          <w:rFonts w:hint="eastAsia" w:ascii="宋体" w:hAnsi="宋体"/>
          <w:bCs/>
          <w:sz w:val="24"/>
          <w:u w:val="single"/>
        </w:rPr>
        <w:t>_____________</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sz w:val="24"/>
        </w:rPr>
        <w:t>代理人（签字或盖章）：</w:t>
      </w:r>
      <w:r>
        <w:rPr>
          <w:rFonts w:hint="eastAsia" w:ascii="宋体" w:hAnsi="宋体"/>
          <w:bCs/>
          <w:sz w:val="24"/>
          <w:u w:val="single"/>
        </w:rPr>
        <w:t>_____________</w:t>
      </w:r>
    </w:p>
    <w:p>
      <w:pPr>
        <w:spacing w:line="360" w:lineRule="auto"/>
        <w:ind w:firstLine="480" w:firstLineChars="200"/>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法定代表人身份证</w:t>
      </w:r>
    </w:p>
    <w:p>
      <w:pPr>
        <w:autoSpaceDE w:val="0"/>
        <w:autoSpaceDN w:val="0"/>
        <w:adjustRightInd w:val="0"/>
        <w:spacing w:line="360" w:lineRule="auto"/>
        <w:ind w:firstLine="240" w:firstLineChars="100"/>
        <w:rPr>
          <w:rFonts w:ascii="宋体" w:hAnsi="宋体"/>
          <w:sz w:val="24"/>
        </w:rPr>
      </w:pPr>
      <w:r>
        <w:rPr>
          <w:rFonts w:hint="eastAsia" w:ascii="宋体" w:hAnsi="宋体"/>
          <w:sz w:val="24"/>
        </w:rPr>
        <w:t>（双面复印件）粘贴处</w:t>
      </w:r>
    </w:p>
    <w:p>
      <w:pPr>
        <w:autoSpaceDE w:val="0"/>
        <w:autoSpaceDN w:val="0"/>
        <w:adjustRightInd w:val="0"/>
        <w:spacing w:line="360" w:lineRule="auto"/>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代理人身份证：</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（双面复印件）粘贴处</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备注：</w:t>
      </w:r>
    </w:p>
    <w:p>
      <w:pPr>
        <w:snapToGrid w:val="0"/>
        <w:spacing w:line="360" w:lineRule="auto"/>
        <w:ind w:firstLine="480" w:firstLineChars="200"/>
        <w:rPr>
          <w:rFonts w:ascii="宋体" w:hAnsi="宋体" w:cs="宋体"/>
          <w:sz w:val="24"/>
        </w:rPr>
      </w:pPr>
      <w:r>
        <w:rPr>
          <w:rFonts w:hint="eastAsia" w:ascii="宋体" w:hAnsi="宋体" w:cs="宋体"/>
          <w:sz w:val="24"/>
        </w:rPr>
        <w:t>1.法定代表人参加报价时，需携带法定代表人资格证明书和本人身份证原件。</w:t>
      </w:r>
    </w:p>
    <w:p>
      <w:pPr>
        <w:snapToGrid w:val="0"/>
        <w:spacing w:line="360" w:lineRule="auto"/>
        <w:ind w:firstLine="480" w:firstLineChars="200"/>
        <w:rPr>
          <w:rFonts w:ascii="宋体" w:hAnsi="宋体" w:cs="宋体"/>
          <w:sz w:val="24"/>
        </w:rPr>
      </w:pPr>
      <w:r>
        <w:rPr>
          <w:rFonts w:hint="eastAsia" w:ascii="宋体" w:hAnsi="宋体" w:cs="宋体"/>
          <w:sz w:val="24"/>
        </w:rPr>
        <w:t>2.代理人参加报价时，需携带法定代表人授权委托书和本人身份证原件。</w:t>
      </w:r>
    </w:p>
    <w:p>
      <w:pPr>
        <w:snapToGrid w:val="0"/>
        <w:spacing w:line="360" w:lineRule="auto"/>
        <w:ind w:firstLine="480" w:firstLineChars="200"/>
        <w:rPr>
          <w:rFonts w:ascii="宋体" w:hAnsi="宋体" w:cs="宋体"/>
          <w:sz w:val="24"/>
        </w:rPr>
      </w:pPr>
    </w:p>
    <w:bookmarkEnd w:id="63"/>
    <w:p>
      <w:pPr>
        <w:widowControl/>
        <w:jc w:val="left"/>
        <w:rPr>
          <w:rFonts w:ascii="黑体" w:hAnsi="宋体" w:eastAsia="黑体"/>
          <w:bCs/>
          <w:color w:val="000000" w:themeColor="text1"/>
          <w:sz w:val="24"/>
          <w:szCs w:val="24"/>
          <w14:textFill>
            <w14:solidFill>
              <w14:schemeClr w14:val="tx1"/>
            </w14:solidFill>
          </w14:textFill>
        </w:rPr>
      </w:pPr>
      <w:bookmarkStart w:id="64" w:name="_Toc59000743"/>
      <w:r>
        <w:rPr>
          <w:rFonts w:hint="eastAsia" w:ascii="黑体" w:hAnsi="宋体" w:eastAsia="黑体"/>
          <w:bCs/>
          <w:color w:val="000000" w:themeColor="text1"/>
          <w:sz w:val="24"/>
          <w:szCs w:val="24"/>
          <w14:textFill>
            <w14:solidFill>
              <w14:schemeClr w14:val="tx1"/>
            </w14:solidFill>
          </w14:textFill>
        </w:rPr>
        <w:t>（五）具备履行合同所必需的设备和专业技术能力的书面声明（格式）</w:t>
      </w:r>
    </w:p>
    <w:p>
      <w:pPr>
        <w:widowControl/>
        <w:jc w:val="left"/>
        <w:rPr>
          <w:rFonts w:ascii="黑体" w:hAnsi="宋体" w:eastAsia="黑体"/>
          <w:bCs/>
          <w:sz w:val="24"/>
          <w:szCs w:val="24"/>
        </w:rPr>
      </w:pPr>
    </w:p>
    <w:p>
      <w:pPr>
        <w:widowControl/>
        <w:jc w:val="left"/>
        <w:rPr>
          <w:rFonts w:ascii="黑体" w:hAnsi="宋体" w:eastAsia="黑体"/>
          <w:bCs/>
          <w:sz w:val="24"/>
          <w:szCs w:val="24"/>
        </w:rPr>
      </w:pPr>
    </w:p>
    <w:p>
      <w:pPr>
        <w:tabs>
          <w:tab w:val="left" w:pos="360"/>
        </w:tabs>
        <w:ind w:firstLine="561"/>
        <w:jc w:val="center"/>
        <w:rPr>
          <w:rFonts w:ascii="黑体" w:hAnsi="黑体" w:eastAsia="黑体" w:cs="Times New Roman"/>
          <w:sz w:val="28"/>
          <w:szCs w:val="28"/>
        </w:rPr>
      </w:pPr>
      <w:r>
        <w:rPr>
          <w:rFonts w:hint="eastAsia" w:ascii="黑体" w:hAnsi="黑体" w:eastAsia="黑体" w:cs="Times New Roman"/>
          <w:sz w:val="28"/>
          <w:szCs w:val="28"/>
        </w:rPr>
        <w:t>具备履行合同所必需的设备和专业技术能力的书面声明</w:t>
      </w:r>
      <w:bookmarkEnd w:id="64"/>
    </w:p>
    <w:p/>
    <w:p>
      <w:pPr>
        <w:spacing w:line="360" w:lineRule="auto"/>
        <w:ind w:firstLine="480" w:firstLineChars="200"/>
        <w:rPr>
          <w:rFonts w:ascii="宋体" w:hAnsi="宋体"/>
          <w:bCs/>
          <w:sz w:val="24"/>
        </w:rPr>
      </w:pPr>
      <w:r>
        <w:rPr>
          <w:rFonts w:hint="eastAsia" w:ascii="宋体" w:hAnsi="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bCs/>
          <w:sz w:val="24"/>
        </w:rPr>
      </w:pPr>
      <w:r>
        <w:rPr>
          <w:rFonts w:hint="eastAsia" w:ascii="宋体" w:hAnsi="宋体"/>
          <w:bCs/>
          <w:sz w:val="24"/>
        </w:rPr>
        <w:t xml:space="preserve">主要设备有：            </w:t>
      </w:r>
    </w:p>
    <w:p>
      <w:pPr>
        <w:spacing w:line="360" w:lineRule="auto"/>
        <w:ind w:firstLine="480" w:firstLineChars="200"/>
        <w:rPr>
          <w:rFonts w:ascii="宋体" w:hAnsi="宋体"/>
          <w:bCs/>
          <w:sz w:val="24"/>
        </w:rPr>
      </w:pPr>
      <w:r>
        <w:rPr>
          <w:rFonts w:hint="eastAsia" w:ascii="宋体" w:hAnsi="宋体"/>
          <w:bCs/>
          <w:sz w:val="24"/>
        </w:rPr>
        <w:t xml:space="preserve">主要专业技术能力有：  </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3120" w:firstLineChars="1300"/>
        <w:jc w:val="left"/>
        <w:rPr>
          <w:rFonts w:ascii="宋体" w:hAnsi="宋体"/>
          <w:bCs/>
          <w:sz w:val="24"/>
        </w:rPr>
      </w:pPr>
      <w:r>
        <w:rPr>
          <w:rFonts w:hint="eastAsia" w:ascii="宋体" w:hAnsi="宋体"/>
          <w:bCs/>
          <w:sz w:val="24"/>
        </w:rPr>
        <w:t>单位名称（公章）：</w:t>
      </w:r>
    </w:p>
    <w:p>
      <w:pPr>
        <w:spacing w:line="460" w:lineRule="exact"/>
        <w:ind w:firstLine="3120" w:firstLineChars="1300"/>
        <w:jc w:val="left"/>
        <w:rPr>
          <w:rFonts w:ascii="宋体" w:hAnsi="宋体"/>
          <w:bCs/>
          <w:sz w:val="24"/>
        </w:rPr>
      </w:pPr>
      <w:r>
        <w:rPr>
          <w:rFonts w:hint="eastAsia" w:ascii="宋体" w:hAnsi="宋体"/>
          <w:bCs/>
          <w:sz w:val="24"/>
        </w:rPr>
        <w:t>法定代表人或代理人（签字或盖章）：</w:t>
      </w:r>
      <w:r>
        <w:rPr>
          <w:rFonts w:hint="eastAsia" w:ascii="宋体" w:hAnsi="宋体"/>
          <w:bCs/>
          <w:sz w:val="24"/>
          <w:u w:val="single"/>
        </w:rPr>
        <w:t>_____________</w:t>
      </w:r>
    </w:p>
    <w:p>
      <w:pPr>
        <w:spacing w:line="460" w:lineRule="exact"/>
        <w:ind w:firstLine="3120" w:firstLineChars="1300"/>
        <w:jc w:val="left"/>
        <w:rPr>
          <w:rFonts w:ascii="宋体" w:hAnsi="宋体"/>
          <w:bCs/>
          <w:sz w:val="24"/>
        </w:rPr>
      </w:pPr>
      <w:r>
        <w:rPr>
          <w:rFonts w:hint="eastAsia" w:ascii="宋体" w:hAnsi="宋体"/>
          <w:bCs/>
          <w:sz w:val="24"/>
        </w:rPr>
        <w:t>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widowControl/>
        <w:jc w:val="left"/>
        <w:rPr>
          <w:rFonts w:ascii="黑体" w:hAnsi="宋体" w:eastAsia="黑体"/>
          <w:bCs/>
          <w:color w:val="000000" w:themeColor="text1"/>
          <w:sz w:val="24"/>
          <w:szCs w:val="24"/>
          <w14:textFill>
            <w14:solidFill>
              <w14:schemeClr w14:val="tx1"/>
            </w14:solidFill>
          </w14:textFill>
        </w:rPr>
      </w:pPr>
    </w:p>
    <w:p>
      <w:pPr>
        <w:spacing w:line="580" w:lineRule="exact"/>
        <w:ind w:firstLine="480" w:firstLineChars="200"/>
        <w:jc w:val="left"/>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widowControl/>
        <w:jc w:val="left"/>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br w:type="page"/>
      </w:r>
    </w:p>
    <w:p>
      <w:pPr>
        <w:widowControl/>
        <w:jc w:val="left"/>
        <w:rPr>
          <w:rFonts w:ascii="宋体" w:hAnsi="宋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（六）参加政府采购活动前 3 年内在经营活动中没有重大违法记录的书面声明</w:t>
      </w:r>
      <w:r>
        <w:rPr>
          <w:rFonts w:hint="eastAsia" w:ascii="黑体" w:hAnsi="黑体" w:eastAsia="黑体"/>
          <w:sz w:val="24"/>
          <w:szCs w:val="24"/>
        </w:rPr>
        <w:t>（格式）</w:t>
      </w:r>
    </w:p>
    <w:p>
      <w:pPr>
        <w:spacing w:line="580" w:lineRule="exact"/>
        <w:rPr>
          <w:rFonts w:ascii="黑体" w:hAnsi="宋体" w:eastAsia="黑体"/>
          <w:bCs/>
          <w:color w:val="000000" w:themeColor="text1"/>
          <w:sz w:val="24"/>
          <w:szCs w:val="24"/>
          <w14:textFill>
            <w14:solidFill>
              <w14:schemeClr w14:val="tx1"/>
            </w14:solidFill>
          </w14:textFill>
        </w:rPr>
      </w:pPr>
    </w:p>
    <w:p>
      <w:pPr>
        <w:tabs>
          <w:tab w:val="left" w:pos="360"/>
        </w:tabs>
        <w:ind w:firstLine="561"/>
        <w:jc w:val="center"/>
        <w:rPr>
          <w:rFonts w:ascii="黑体" w:hAnsi="黑体" w:eastAsia="黑体" w:cs="Times New Roman"/>
          <w:sz w:val="28"/>
          <w:szCs w:val="28"/>
        </w:rPr>
      </w:pPr>
      <w:bookmarkStart w:id="65" w:name="_Toc59000745"/>
      <w:r>
        <w:rPr>
          <w:rFonts w:hint="eastAsia" w:ascii="黑体" w:hAnsi="黑体" w:eastAsia="黑体" w:cs="Times New Roman"/>
          <w:sz w:val="28"/>
          <w:szCs w:val="28"/>
        </w:rPr>
        <w:t>参加政府采购活动前 3 年内在经营活动中没有重大违法记录的书面声明</w:t>
      </w:r>
      <w:bookmarkEnd w:id="65"/>
    </w:p>
    <w:p>
      <w:pPr>
        <w:tabs>
          <w:tab w:val="left" w:pos="360"/>
        </w:tabs>
        <w:ind w:firstLine="561"/>
        <w:jc w:val="center"/>
        <w:rPr>
          <w:rFonts w:ascii="黑体" w:hAnsi="黑体" w:eastAsia="黑体" w:cs="Times New Roman"/>
          <w:sz w:val="28"/>
          <w:szCs w:val="28"/>
        </w:rPr>
      </w:pPr>
    </w:p>
    <w:p>
      <w:pPr>
        <w:spacing w:line="560" w:lineRule="exact"/>
        <w:rPr>
          <w:rFonts w:ascii="宋体" w:hAnsi="宋体"/>
          <w:b/>
          <w:bCs/>
          <w:sz w:val="36"/>
          <w:szCs w:val="36"/>
        </w:rPr>
      </w:pPr>
      <w:r>
        <w:rPr>
          <w:rFonts w:hint="eastAsia" w:ascii="宋体" w:hAnsi="宋体"/>
          <w:b/>
          <w:bCs/>
          <w:sz w:val="32"/>
          <w:szCs w:val="32"/>
        </w:rPr>
        <w:t xml:space="preserve">                       </w:t>
      </w:r>
      <w:r>
        <w:rPr>
          <w:rFonts w:hint="eastAsia" w:ascii="宋体" w:hAnsi="宋体"/>
          <w:b/>
          <w:bCs/>
          <w:sz w:val="36"/>
          <w:szCs w:val="36"/>
        </w:rPr>
        <w:t xml:space="preserve">    声  明 </w:t>
      </w:r>
    </w:p>
    <w:p>
      <w:pPr>
        <w:spacing w:line="560" w:lineRule="exact"/>
        <w:rPr>
          <w:rFonts w:ascii="宋体" w:hAnsi="宋体"/>
          <w:b/>
          <w:bCs/>
          <w:sz w:val="32"/>
          <w:szCs w:val="32"/>
        </w:rPr>
      </w:pPr>
    </w:p>
    <w:p>
      <w:pPr>
        <w:snapToGrid w:val="0"/>
        <w:spacing w:line="360" w:lineRule="auto"/>
        <w:ind w:firstLine="480" w:firstLineChars="200"/>
        <w:rPr>
          <w:rFonts w:ascii="宋体" w:hAnsi="宋体"/>
          <w:sz w:val="24"/>
        </w:rPr>
      </w:pPr>
      <w:r>
        <w:rPr>
          <w:rFonts w:hint="eastAsia" w:ascii="宋体" w:hAnsi="宋体"/>
          <w:sz w:val="24"/>
        </w:rPr>
        <w:t>我</w:t>
      </w:r>
      <w:r>
        <w:rPr>
          <w:rFonts w:hint="eastAsia"/>
          <w:sz w:val="24"/>
        </w:rPr>
        <w:t>单位</w:t>
      </w:r>
      <w:r>
        <w:rPr>
          <w:rFonts w:hint="eastAsia" w:ascii="宋体" w:hAnsi="宋体"/>
          <w:sz w:val="24"/>
        </w:rPr>
        <w:t>郑重声明：参加本次政府采购活动前 3 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pPr>
        <w:snapToGrid w:val="0"/>
        <w:spacing w:line="460" w:lineRule="exact"/>
        <w:rPr>
          <w:rFonts w:ascii="宋体" w:hAnsi="宋体"/>
          <w:sz w:val="24"/>
        </w:rPr>
      </w:pPr>
      <w:r>
        <w:rPr>
          <w:rFonts w:hint="eastAsia" w:ascii="宋体" w:hAnsi="宋体"/>
          <w:sz w:val="24"/>
        </w:rPr>
        <w:t xml:space="preserve">    </w:t>
      </w:r>
    </w:p>
    <w:p>
      <w:pPr>
        <w:snapToGrid w:val="0"/>
        <w:spacing w:line="460" w:lineRule="exact"/>
        <w:ind w:firstLine="3120" w:firstLineChars="1300"/>
        <w:rPr>
          <w:rFonts w:ascii="宋体" w:hAnsi="宋体"/>
          <w:sz w:val="24"/>
        </w:rPr>
      </w:pPr>
      <w:r>
        <w:rPr>
          <w:rFonts w:hint="eastAsia" w:ascii="宋体" w:hAnsi="宋体"/>
          <w:sz w:val="24"/>
        </w:rPr>
        <w:t>单位名称（公章）：</w:t>
      </w:r>
    </w:p>
    <w:p>
      <w:pPr>
        <w:snapToGrid w:val="0"/>
        <w:spacing w:line="460" w:lineRule="exact"/>
        <w:rPr>
          <w:rFonts w:ascii="宋体" w:hAnsi="宋体"/>
          <w:sz w:val="24"/>
        </w:rPr>
      </w:pPr>
      <w:r>
        <w:rPr>
          <w:rFonts w:hint="eastAsia" w:ascii="宋体" w:hAnsi="宋体"/>
          <w:sz w:val="24"/>
        </w:rPr>
        <w:t xml:space="preserve">                          法定代表人或代理人（签字或盖章）：</w:t>
      </w:r>
      <w:r>
        <w:rPr>
          <w:rFonts w:hint="eastAsia" w:ascii="宋体" w:hAnsi="宋体"/>
          <w:sz w:val="24"/>
          <w:u w:val="single"/>
        </w:rPr>
        <w:t>_______________</w:t>
      </w:r>
    </w:p>
    <w:p>
      <w:pPr>
        <w:spacing w:line="560" w:lineRule="exact"/>
        <w:ind w:firstLine="495"/>
        <w:rPr>
          <w:rFonts w:ascii="宋体" w:hAnsi="宋体"/>
          <w:sz w:val="24"/>
        </w:rPr>
      </w:pPr>
      <w:r>
        <w:rPr>
          <w:rFonts w:hint="eastAsia" w:ascii="宋体" w:hAnsi="宋体"/>
          <w:sz w:val="24"/>
        </w:rPr>
        <w:t xml:space="preserve">                      日期： </w:t>
      </w:r>
      <w:r>
        <w:rPr>
          <w:rFonts w:hint="eastAsia" w:ascii="宋体" w:hAnsi="宋体"/>
          <w:sz w:val="24"/>
          <w:u w:val="single"/>
        </w:rPr>
        <w:t>______</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widowControl/>
        <w:jc w:val="left"/>
        <w:rPr>
          <w:rFonts w:ascii="宋体" w:hAnsi="宋体"/>
          <w:bCs/>
          <w:sz w:val="24"/>
        </w:rPr>
      </w:pPr>
      <w:r>
        <w:rPr>
          <w:rFonts w:ascii="宋体" w:hAnsi="宋体"/>
          <w:bCs/>
          <w:sz w:val="24"/>
        </w:rPr>
        <w:br w:type="page"/>
      </w:r>
    </w:p>
    <w:p>
      <w:pPr>
        <w:widowControl/>
        <w:jc w:val="left"/>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（七）项目人员配置表</w:t>
      </w:r>
      <w:bookmarkEnd w:id="59"/>
      <w:r>
        <w:rPr>
          <w:rFonts w:hint="eastAsia" w:ascii="黑体" w:hAnsi="黑体" w:eastAsia="黑体"/>
          <w:sz w:val="24"/>
          <w:szCs w:val="24"/>
        </w:rPr>
        <w:t>（格式）</w:t>
      </w:r>
    </w:p>
    <w:p>
      <w:pPr>
        <w:spacing w:line="360" w:lineRule="auto"/>
        <w:ind w:firstLine="480" w:firstLineChars="200"/>
        <w:rPr>
          <w:color w:val="000000" w:themeColor="text1"/>
          <w:sz w:val="24"/>
          <w:szCs w:val="24"/>
          <w14:textFill>
            <w14:solidFill>
              <w14:schemeClr w14:val="tx1"/>
            </w14:solidFill>
          </w14:textFill>
        </w:rPr>
      </w:pPr>
    </w:p>
    <w:p>
      <w:pPr>
        <w:jc w:val="center"/>
        <w:rPr>
          <w:rFonts w:ascii="黑体" w:hAnsi="黑体" w:eastAsia="黑体"/>
          <w:sz w:val="28"/>
          <w:szCs w:val="28"/>
        </w:rPr>
      </w:pPr>
      <w:r>
        <w:rPr>
          <w:rFonts w:ascii="黑体" w:hAnsi="黑体" w:eastAsia="黑体"/>
          <w:sz w:val="28"/>
          <w:szCs w:val="28"/>
        </w:rPr>
        <w:t>项目人员配置</w:t>
      </w:r>
      <w:r>
        <w:rPr>
          <w:rFonts w:hint="eastAsia" w:ascii="黑体" w:hAnsi="黑体" w:eastAsia="黑体"/>
          <w:sz w:val="28"/>
          <w:szCs w:val="28"/>
        </w:rPr>
        <w:t>表</w:t>
      </w:r>
    </w:p>
    <w:p>
      <w:pPr>
        <w:ind w:firstLine="840" w:firstLineChars="350"/>
        <w:rPr>
          <w:rFonts w:ascii="黑体" w:hAnsi="Calibri" w:eastAsia="黑体"/>
          <w:bCs/>
          <w:sz w:val="24"/>
          <w:szCs w:val="24"/>
          <w:u w:val="single"/>
        </w:rPr>
      </w:pPr>
      <w:r>
        <w:rPr>
          <w:rFonts w:hint="eastAsia" w:ascii="黑体" w:hAnsi="Calibri" w:eastAsia="黑体"/>
          <w:bCs/>
          <w:sz w:val="24"/>
          <w:szCs w:val="24"/>
        </w:rPr>
        <w:t>供应商名称（盖章）：</w:t>
      </w:r>
      <w:r>
        <w:rPr>
          <w:rFonts w:hint="eastAsia" w:ascii="黑体" w:hAnsi="Calibri" w:eastAsia="黑体"/>
          <w:bCs/>
          <w:sz w:val="24"/>
          <w:szCs w:val="24"/>
          <w:u w:val="single"/>
        </w:rPr>
        <w:t xml:space="preserve">                </w:t>
      </w:r>
      <w:r>
        <w:rPr>
          <w:rFonts w:hint="eastAsia" w:ascii="黑体" w:hAnsi="Calibri" w:eastAsia="黑体"/>
          <w:bCs/>
          <w:sz w:val="24"/>
          <w:szCs w:val="24"/>
        </w:rPr>
        <w:t xml:space="preserve">      采购项目编号：</w:t>
      </w:r>
      <w:r>
        <w:rPr>
          <w:rFonts w:hint="eastAsia" w:ascii="黑体" w:hAnsi="Calibri" w:eastAsia="黑体"/>
          <w:bCs/>
          <w:sz w:val="24"/>
          <w:szCs w:val="24"/>
          <w:u w:val="single"/>
        </w:rPr>
        <w:t xml:space="preserve">              </w:t>
      </w:r>
    </w:p>
    <w:p>
      <w:pPr>
        <w:ind w:firstLine="840" w:firstLineChars="350"/>
        <w:rPr>
          <w:rFonts w:ascii="黑体" w:hAnsi="Calibri" w:eastAsia="黑体"/>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Calibri" w:hAnsi="Calibri"/>
                <w:b/>
                <w:sz w:val="24"/>
              </w:rPr>
            </w:pPr>
            <w:r>
              <w:rPr>
                <w:rFonts w:hint="eastAsia" w:ascii="Calibri" w:hAnsi="Calibri"/>
                <w:b/>
                <w:sz w:val="24"/>
              </w:rPr>
              <w:t>序号</w:t>
            </w:r>
          </w:p>
        </w:tc>
        <w:tc>
          <w:tcPr>
            <w:tcW w:w="2139" w:type="dxa"/>
            <w:vAlign w:val="center"/>
          </w:tcPr>
          <w:p>
            <w:pPr>
              <w:jc w:val="center"/>
              <w:rPr>
                <w:rFonts w:ascii="Calibri" w:hAnsi="Calibri"/>
                <w:b/>
                <w:sz w:val="24"/>
              </w:rPr>
            </w:pPr>
            <w:r>
              <w:rPr>
                <w:rFonts w:hint="eastAsia" w:ascii="Calibri" w:hAnsi="Calibri"/>
                <w:b/>
                <w:sz w:val="24"/>
              </w:rPr>
              <w:t>姓名</w:t>
            </w:r>
          </w:p>
        </w:tc>
        <w:tc>
          <w:tcPr>
            <w:tcW w:w="1134" w:type="dxa"/>
            <w:vAlign w:val="center"/>
          </w:tcPr>
          <w:p>
            <w:pPr>
              <w:jc w:val="center"/>
              <w:rPr>
                <w:rFonts w:ascii="Calibri" w:hAnsi="Calibri"/>
                <w:b/>
                <w:sz w:val="24"/>
              </w:rPr>
            </w:pPr>
            <w:r>
              <w:rPr>
                <w:rFonts w:hint="eastAsia" w:ascii="Calibri" w:hAnsi="Calibri"/>
                <w:b/>
                <w:sz w:val="24"/>
              </w:rPr>
              <w:t>年龄</w:t>
            </w:r>
          </w:p>
        </w:tc>
        <w:tc>
          <w:tcPr>
            <w:tcW w:w="2126" w:type="dxa"/>
            <w:vAlign w:val="center"/>
          </w:tcPr>
          <w:p>
            <w:pPr>
              <w:jc w:val="center"/>
              <w:rPr>
                <w:rFonts w:ascii="Calibri" w:hAnsi="Calibri"/>
                <w:b/>
                <w:sz w:val="24"/>
              </w:rPr>
            </w:pPr>
            <w:r>
              <w:rPr>
                <w:rFonts w:hint="eastAsia" w:ascii="Calibri" w:hAnsi="Calibri"/>
                <w:b/>
                <w:sz w:val="24"/>
              </w:rPr>
              <w:t>本项目职责</w:t>
            </w:r>
          </w:p>
        </w:tc>
        <w:tc>
          <w:tcPr>
            <w:tcW w:w="1689" w:type="dxa"/>
            <w:vAlign w:val="center"/>
          </w:tcPr>
          <w:p>
            <w:pPr>
              <w:jc w:val="center"/>
              <w:rPr>
                <w:rFonts w:ascii="Calibri" w:hAnsi="Calibri"/>
                <w:b/>
                <w:sz w:val="24"/>
              </w:rPr>
            </w:pPr>
            <w:r>
              <w:rPr>
                <w:rFonts w:hint="eastAsia" w:ascii="Calibri" w:hAnsi="Calibri"/>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黑体" w:hAnsi="Calibri" w:eastAsia="黑体"/>
                <w:bCs/>
                <w:sz w:val="24"/>
                <w:szCs w:val="24"/>
              </w:rPr>
            </w:pPr>
          </w:p>
        </w:tc>
        <w:tc>
          <w:tcPr>
            <w:tcW w:w="1689" w:type="dxa"/>
          </w:tcPr>
          <w:p>
            <w:pPr>
              <w:jc w:val="center"/>
              <w:outlineLvl w:val="0"/>
              <w:rPr>
                <w:rFonts w:ascii="黑体" w:hAnsi="Calibri" w:eastAsia="黑体"/>
                <w:bCs/>
                <w:sz w:val="24"/>
                <w:szCs w:val="24"/>
              </w:rPr>
            </w:pPr>
          </w:p>
        </w:tc>
      </w:tr>
    </w:tbl>
    <w:p>
      <w:pPr>
        <w:rPr>
          <w:rFonts w:ascii="Calibri" w:hAnsi="Calibri"/>
          <w:b/>
          <w:bCs/>
          <w:color w:val="000000"/>
          <w:sz w:val="24"/>
          <w:szCs w:val="24"/>
        </w:rPr>
      </w:pPr>
    </w:p>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法定代表人或被授权代表（签字或盖章）：</w:t>
      </w:r>
      <w:r>
        <w:rPr>
          <w:rFonts w:hint="eastAsia"/>
          <w:b/>
          <w:bCs/>
          <w:color w:val="000000" w:themeColor="text1"/>
          <w:sz w:val="24"/>
          <w:szCs w:val="24"/>
          <w:u w:val="single"/>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 xml:space="preserve"> </w:t>
      </w:r>
    </w:p>
    <w:p>
      <w:pPr>
        <w:rPr>
          <w:rFonts w:ascii="宋体" w:hAnsi="宋体"/>
          <w:bCs/>
          <w:color w:val="000000"/>
          <w:szCs w:val="21"/>
        </w:rPr>
      </w:pP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 表格不够可自行延长。</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color w:val="000000" w:themeColor="text1"/>
          <w:sz w:val="24"/>
          <w:szCs w:val="24"/>
          <w14:textFill>
            <w14:solidFill>
              <w14:schemeClr w14:val="tx1"/>
            </w14:solidFill>
          </w14:textFill>
        </w:rPr>
      </w:pPr>
    </w:p>
    <w:p>
      <w:pPr>
        <w:spacing w:line="360" w:lineRule="auto"/>
      </w:pPr>
      <w:r>
        <w:br w:type="page"/>
      </w:r>
    </w:p>
    <w:p>
      <w:pPr>
        <w:keepNext/>
        <w:spacing w:line="360" w:lineRule="auto"/>
        <w:jc w:val="center"/>
        <w:outlineLvl w:val="0"/>
        <w:rPr>
          <w:rFonts w:ascii="黑体" w:hAnsi="黑体" w:eastAsia="黑体" w:cs="Times New Roman"/>
          <w:bCs/>
          <w:kern w:val="0"/>
          <w:sz w:val="28"/>
          <w:szCs w:val="28"/>
        </w:rPr>
      </w:pPr>
      <w:bookmarkStart w:id="66" w:name="_Toc92976624"/>
      <w:bookmarkStart w:id="67" w:name="_Toc63173555"/>
      <w:r>
        <w:rPr>
          <w:rFonts w:hint="eastAsia" w:ascii="黑体" w:hAnsi="黑体" w:eastAsia="黑体" w:cs="Times New Roman"/>
          <w:bCs/>
          <w:kern w:val="0"/>
          <w:sz w:val="28"/>
          <w:szCs w:val="28"/>
        </w:rPr>
        <w:t>友 情 提 醒</w:t>
      </w:r>
      <w:bookmarkEnd w:id="66"/>
      <w:bookmarkEnd w:id="67"/>
    </w:p>
    <w:p>
      <w:pPr>
        <w:spacing w:line="360" w:lineRule="auto"/>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各供应商：</w:t>
      </w:r>
    </w:p>
    <w:p>
      <w:pPr>
        <w:spacing w:line="360" w:lineRule="auto"/>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您好！</w:t>
      </w:r>
    </w:p>
    <w:p>
      <w:pPr>
        <w:spacing w:line="360" w:lineRule="auto"/>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为了提高贵单位的响应文件的有效性，减少不必要的无效</w:t>
      </w:r>
      <w:r>
        <w:rPr>
          <w:rFonts w:hint="eastAsia" w:eastAsia="宋体"/>
          <w:color w:val="000000" w:themeColor="text1"/>
          <w:sz w:val="24"/>
          <w:szCs w:val="24"/>
          <w14:textFill>
            <w14:solidFill>
              <w14:schemeClr w14:val="tx1"/>
            </w14:solidFill>
          </w14:textFill>
        </w:rPr>
        <w:t>报价</w:t>
      </w:r>
      <w:r>
        <w:rPr>
          <w:rFonts w:eastAsia="宋体"/>
          <w:color w:val="000000" w:themeColor="text1"/>
          <w:sz w:val="24"/>
          <w:szCs w:val="24"/>
          <w14:textFill>
            <w14:solidFill>
              <w14:schemeClr w14:val="tx1"/>
            </w14:solidFill>
          </w14:textFill>
        </w:rPr>
        <w:t>，特友情提醒注意以下几点：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请谨记采购文件上表述的各项事宜时间节点，特别是开标时间和地点，迟到的将一律不能进入开标室。</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响应文件应按要求密封，并在封袋上加盖供应商公章。</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 响应文件须按采购文件《二、供应商须知》及《五、响应文件格式》中相关要求装订、密封、标记、盖章和签署。响应文件封袋须加盖供应商公章。</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响应文件中的证明文件及资料需提供复印件并加盖公章，有要求提供原件或公证件的必须将原件或公证件携带至开标现场备查或核查。</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需要提供样品的，请严格按采购文件要求提供，同时注意密封、隐蔽标签的相关要求。</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7.</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设定最高限价的，超过限价一律废标。</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请精心仔细审阅采购文件，特别是加粗部分的文字。如有疑问，请按采购文件要求进行询疑。</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我单位十分欢迎贵单位对招标采购组织工作提出宝贵意见和建议。电话：</w:t>
      </w:r>
      <w:r>
        <w:rPr>
          <w:rFonts w:hint="eastAsia" w:eastAsia="宋体"/>
          <w:color w:val="000000" w:themeColor="text1"/>
          <w:sz w:val="24"/>
          <w:szCs w:val="24"/>
          <w14:textFill>
            <w14:solidFill>
              <w14:schemeClr w14:val="tx1"/>
            </w14:solidFill>
          </w14:textFill>
        </w:rPr>
        <w:t>18915091067</w:t>
      </w:r>
      <w:r>
        <w:rPr>
          <w:rFonts w:eastAsia="宋体"/>
          <w:color w:val="000000" w:themeColor="text1"/>
          <w:sz w:val="24"/>
          <w:szCs w:val="24"/>
          <w14:textFill>
            <w14:solidFill>
              <w14:schemeClr w14:val="tx1"/>
            </w14:solidFill>
          </w14:textFill>
        </w:rPr>
        <w:t xml:space="preserve">  </w:t>
      </w:r>
    </w:p>
    <w:p>
      <w:pPr>
        <w:spacing w:line="360" w:lineRule="auto"/>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最后祝贵单位投标成功！</w:t>
      </w:r>
    </w:p>
    <w:p>
      <w:pPr>
        <w:spacing w:line="360" w:lineRule="auto"/>
        <w:ind w:firstLine="480" w:firstLineChars="200"/>
        <w:rPr>
          <w:rFonts w:eastAsia="宋体"/>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本采购文件的最终解释权归江苏仁禾中衡工程咨询房地产估价有限公司所有。</w:t>
      </w:r>
    </w:p>
    <w:p>
      <w:pPr>
        <w:spacing w:line="360" w:lineRule="auto"/>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（全文完）</w:t>
      </w:r>
    </w:p>
    <w:p>
      <w:pPr>
        <w:widowControl/>
        <w:jc w:val="left"/>
        <w:rPr>
          <w:rFonts w:ascii="黑体" w:hAnsi="黑体" w:eastAsia="黑体"/>
          <w:color w:val="000000" w:themeColor="text1"/>
          <w:sz w:val="28"/>
          <w:szCs w:val="28"/>
          <w14:textFill>
            <w14:solidFill>
              <w14:schemeClr w14:val="tx1"/>
            </w14:solidFill>
          </w14:textFill>
        </w:rPr>
      </w:pPr>
    </w:p>
    <w:sectPr>
      <w:headerReference r:id="rId11" w:type="first"/>
      <w:footerReference r:id="rId13" w:type="first"/>
      <w:headerReference r:id="rId9" w:type="default"/>
      <w:footerReference r:id="rId12" w:type="default"/>
      <w:headerReference r:id="rId10"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805796"/>
    </w:sdtPr>
    <w:sdtContent>
      <w:sdt>
        <w:sdtPr>
          <w:id w:val="-853181195"/>
        </w:sdtPr>
        <w:sdtContent>
          <w:p>
            <w:pPr>
              <w:pStyle w:val="20"/>
              <w:tabs>
                <w:tab w:val="left" w:pos="3900"/>
                <w:tab w:val="center" w:pos="4960"/>
              </w:tabs>
              <w:rPr>
                <w:rFonts w:asciiTheme="minorHAnsi" w:hAnsiTheme="minorHAnsi" w:eastAsiaTheme="minorEastAsia" w:cstheme="minorBidi"/>
                <w:kern w:val="2"/>
                <w:sz w:val="21"/>
                <w:szCs w:val="22"/>
              </w:rPr>
            </w:pPr>
            <w:r>
              <w:tab/>
            </w:r>
            <w:r>
              <w:tab/>
            </w:r>
            <w:r>
              <w:rPr>
                <w:rFonts w:asciiTheme="minorEastAsia" w:hAnsiTheme="minorEastAsia" w:eastAsiaTheme="minorEastAsia"/>
                <w:sz w:val="21"/>
                <w:szCs w:val="21"/>
                <w:lang w:val="zh-CN"/>
              </w:rPr>
              <w:t xml:space="preserve"> 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16</w:t>
            </w:r>
            <w:r>
              <w:rPr>
                <w:rFonts w:asciiTheme="minorEastAsia" w:hAnsiTheme="minorEastAsia" w:eastAsiaTheme="minorEastAsia"/>
                <w:bCs/>
                <w:sz w:val="21"/>
                <w:szCs w:val="21"/>
              </w:rPr>
              <w:fldChar w:fldCharType="end"/>
            </w:r>
            <w:r>
              <w:rPr>
                <w:rFonts w:asciiTheme="minorEastAsia" w:hAnsiTheme="minorEastAsia" w:eastAsiaTheme="minorEastAsia"/>
                <w:bCs/>
                <w:sz w:val="21"/>
                <w:szCs w:val="21"/>
              </w:rPr>
              <w:t>页</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t>共</w:t>
            </w:r>
            <w:r>
              <w:rPr>
                <w:rFonts w:hint="eastAsia" w:asciiTheme="minorEastAsia" w:hAnsiTheme="minorEastAsia" w:eastAsiaTheme="minorEastAsia"/>
                <w:bCs/>
                <w:sz w:val="21"/>
                <w:szCs w:val="21"/>
              </w:rPr>
              <w:t>45</w:t>
            </w:r>
            <w:r>
              <w:rPr>
                <w:rFonts w:asciiTheme="minorEastAsia" w:hAnsiTheme="minorEastAsia" w:eastAsiaTheme="minorEastAsia"/>
                <w:bCs/>
                <w:sz w:val="21"/>
                <w:szCs w:val="21"/>
              </w:rPr>
              <w:t>页</w:t>
            </w:r>
          </w:p>
        </w:sdtContent>
      </w:sdt>
      <w:p>
        <w:pPr>
          <w:pStyle w:val="20"/>
          <w:tabs>
            <w:tab w:val="left" w:pos="3900"/>
            <w:tab w:val="center" w:pos="4960"/>
          </w:tabs>
          <w:rPr>
            <w:rFonts w:asciiTheme="minorHAnsi" w:hAnsiTheme="minorHAnsi" w:eastAsiaTheme="minorEastAsia" w:cstheme="minorBidi"/>
            <w:kern w:val="2"/>
            <w:sz w:val="21"/>
            <w:szCs w:val="22"/>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159387"/>
    </w:sdtPr>
    <w:sdtEndPr>
      <w:rPr>
        <w:rFonts w:asciiTheme="minorEastAsia" w:hAnsiTheme="minorEastAsia" w:eastAsiaTheme="minorEastAsia"/>
        <w:sz w:val="21"/>
        <w:szCs w:val="21"/>
        <w:lang w:val="zh-CN"/>
      </w:rPr>
    </w:sdtEndPr>
    <w:sdtContent>
      <w:sdt>
        <w:sdtPr>
          <w:id w:val="966314945"/>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46</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w:t>
            </w:r>
            <w:r>
              <w:rPr>
                <w:rFonts w:hint="eastAsia" w:asciiTheme="minorEastAsia" w:hAnsiTheme="minorEastAsia" w:eastAsiaTheme="minorEastAsia"/>
                <w:sz w:val="21"/>
                <w:szCs w:val="21"/>
                <w:lang w:val="en-US" w:eastAsia="zh-CN"/>
              </w:rPr>
              <w:t>46</w:t>
            </w:r>
            <w:r>
              <w:rPr>
                <w:rFonts w:hint="eastAsia" w:asciiTheme="minorEastAsia" w:hAnsiTheme="minorEastAsia" w:eastAsiaTheme="minorEastAsia"/>
                <w:sz w:val="21"/>
                <w:szCs w:val="21"/>
                <w:lang w:val="zh-CN"/>
              </w:rPr>
              <w:t>页</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6350" b="6350"/>
          <wp:wrapNone/>
          <wp:docPr id="2" name="图片 6"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0" b="0"/>
          <wp:wrapNone/>
          <wp:docPr id="3" name="图片 3"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60950" cy="5080000"/>
          <wp:effectExtent l="0" t="0" r="0" b="0"/>
          <wp:wrapNone/>
          <wp:docPr id="4" name="图片 4"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YTViMzk3MzRiMGYzZDFkMjA1YTQ0MTc5ZDM2NDUifQ=="/>
  </w:docVars>
  <w:rsids>
    <w:rsidRoot w:val="00202940"/>
    <w:rsid w:val="00003B80"/>
    <w:rsid w:val="000048AE"/>
    <w:rsid w:val="00007D9A"/>
    <w:rsid w:val="00011B5A"/>
    <w:rsid w:val="00021B35"/>
    <w:rsid w:val="00023F37"/>
    <w:rsid w:val="00025959"/>
    <w:rsid w:val="00025CDA"/>
    <w:rsid w:val="00027136"/>
    <w:rsid w:val="000304B3"/>
    <w:rsid w:val="00033F9B"/>
    <w:rsid w:val="0003505C"/>
    <w:rsid w:val="00036049"/>
    <w:rsid w:val="0003756D"/>
    <w:rsid w:val="00040D3C"/>
    <w:rsid w:val="00044E11"/>
    <w:rsid w:val="00045DB6"/>
    <w:rsid w:val="000467D6"/>
    <w:rsid w:val="00046D6A"/>
    <w:rsid w:val="00047D25"/>
    <w:rsid w:val="00050C6E"/>
    <w:rsid w:val="000536EA"/>
    <w:rsid w:val="000542BD"/>
    <w:rsid w:val="00055659"/>
    <w:rsid w:val="00056FC0"/>
    <w:rsid w:val="00057274"/>
    <w:rsid w:val="00061D0D"/>
    <w:rsid w:val="0006261F"/>
    <w:rsid w:val="00064546"/>
    <w:rsid w:val="00064F9E"/>
    <w:rsid w:val="00070B23"/>
    <w:rsid w:val="000714F1"/>
    <w:rsid w:val="00071CFE"/>
    <w:rsid w:val="00072395"/>
    <w:rsid w:val="0007466C"/>
    <w:rsid w:val="00081AD6"/>
    <w:rsid w:val="00085025"/>
    <w:rsid w:val="000853A3"/>
    <w:rsid w:val="000859DC"/>
    <w:rsid w:val="00091725"/>
    <w:rsid w:val="00091930"/>
    <w:rsid w:val="000935DA"/>
    <w:rsid w:val="000951E0"/>
    <w:rsid w:val="000953FC"/>
    <w:rsid w:val="00095D10"/>
    <w:rsid w:val="00096B78"/>
    <w:rsid w:val="00096F5C"/>
    <w:rsid w:val="000A01C4"/>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3344"/>
    <w:rsid w:val="00133FEA"/>
    <w:rsid w:val="00135918"/>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636D"/>
    <w:rsid w:val="001774EB"/>
    <w:rsid w:val="00177625"/>
    <w:rsid w:val="00180119"/>
    <w:rsid w:val="0018151D"/>
    <w:rsid w:val="0018434D"/>
    <w:rsid w:val="00184781"/>
    <w:rsid w:val="00186F20"/>
    <w:rsid w:val="00197209"/>
    <w:rsid w:val="001A0B7A"/>
    <w:rsid w:val="001A3FBC"/>
    <w:rsid w:val="001A6D24"/>
    <w:rsid w:val="001A706E"/>
    <w:rsid w:val="001A7A41"/>
    <w:rsid w:val="001B10DC"/>
    <w:rsid w:val="001B3832"/>
    <w:rsid w:val="001B4A4A"/>
    <w:rsid w:val="001B4F76"/>
    <w:rsid w:val="001B76D5"/>
    <w:rsid w:val="001C0741"/>
    <w:rsid w:val="001C0B47"/>
    <w:rsid w:val="001C0DBC"/>
    <w:rsid w:val="001C213A"/>
    <w:rsid w:val="001D1504"/>
    <w:rsid w:val="001D26CC"/>
    <w:rsid w:val="001D3F66"/>
    <w:rsid w:val="001E01CF"/>
    <w:rsid w:val="001E150A"/>
    <w:rsid w:val="001E4668"/>
    <w:rsid w:val="001E58C3"/>
    <w:rsid w:val="001E6093"/>
    <w:rsid w:val="001F0A78"/>
    <w:rsid w:val="001F3FA0"/>
    <w:rsid w:val="001F4C40"/>
    <w:rsid w:val="001F57BF"/>
    <w:rsid w:val="00200131"/>
    <w:rsid w:val="00202940"/>
    <w:rsid w:val="00202D50"/>
    <w:rsid w:val="00202E69"/>
    <w:rsid w:val="0020399D"/>
    <w:rsid w:val="002039D9"/>
    <w:rsid w:val="00203A18"/>
    <w:rsid w:val="00204136"/>
    <w:rsid w:val="00204689"/>
    <w:rsid w:val="00205736"/>
    <w:rsid w:val="00207E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33D7"/>
    <w:rsid w:val="00304725"/>
    <w:rsid w:val="00305C33"/>
    <w:rsid w:val="00305E08"/>
    <w:rsid w:val="003119B4"/>
    <w:rsid w:val="003128B5"/>
    <w:rsid w:val="003140CE"/>
    <w:rsid w:val="00316A5B"/>
    <w:rsid w:val="00320C76"/>
    <w:rsid w:val="0032309C"/>
    <w:rsid w:val="003245E2"/>
    <w:rsid w:val="003268BA"/>
    <w:rsid w:val="00327E25"/>
    <w:rsid w:val="003319FF"/>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66999"/>
    <w:rsid w:val="00372490"/>
    <w:rsid w:val="003724E1"/>
    <w:rsid w:val="00374785"/>
    <w:rsid w:val="00374F99"/>
    <w:rsid w:val="003750B1"/>
    <w:rsid w:val="00387D89"/>
    <w:rsid w:val="00392089"/>
    <w:rsid w:val="00392157"/>
    <w:rsid w:val="00393FB0"/>
    <w:rsid w:val="003973FB"/>
    <w:rsid w:val="0039747F"/>
    <w:rsid w:val="003A1EEF"/>
    <w:rsid w:val="003A2B32"/>
    <w:rsid w:val="003A30AE"/>
    <w:rsid w:val="003A518E"/>
    <w:rsid w:val="003A6FD9"/>
    <w:rsid w:val="003B0177"/>
    <w:rsid w:val="003B1A45"/>
    <w:rsid w:val="003B1C96"/>
    <w:rsid w:val="003B5D97"/>
    <w:rsid w:val="003B6DDC"/>
    <w:rsid w:val="003C44D1"/>
    <w:rsid w:val="003C46E2"/>
    <w:rsid w:val="003C64FC"/>
    <w:rsid w:val="003D33EB"/>
    <w:rsid w:val="003D3D61"/>
    <w:rsid w:val="003D4C6E"/>
    <w:rsid w:val="003D4DFC"/>
    <w:rsid w:val="003D7731"/>
    <w:rsid w:val="003E2FFD"/>
    <w:rsid w:val="003E5D27"/>
    <w:rsid w:val="003F0A5F"/>
    <w:rsid w:val="003F0A6E"/>
    <w:rsid w:val="003F2666"/>
    <w:rsid w:val="003F44D3"/>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26E3"/>
    <w:rsid w:val="00473CE7"/>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28CE"/>
    <w:rsid w:val="004B47A7"/>
    <w:rsid w:val="004B5D69"/>
    <w:rsid w:val="004C1504"/>
    <w:rsid w:val="004C152C"/>
    <w:rsid w:val="004C1FD5"/>
    <w:rsid w:val="004C296E"/>
    <w:rsid w:val="004C2B34"/>
    <w:rsid w:val="004C3C68"/>
    <w:rsid w:val="004C5AE3"/>
    <w:rsid w:val="004D0130"/>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30CC"/>
    <w:rsid w:val="00543C1B"/>
    <w:rsid w:val="00545525"/>
    <w:rsid w:val="00550CC3"/>
    <w:rsid w:val="005522C5"/>
    <w:rsid w:val="00553339"/>
    <w:rsid w:val="00560BED"/>
    <w:rsid w:val="00561A77"/>
    <w:rsid w:val="00564EE9"/>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442D"/>
    <w:rsid w:val="005B67A5"/>
    <w:rsid w:val="005B7139"/>
    <w:rsid w:val="005C05C5"/>
    <w:rsid w:val="005C1267"/>
    <w:rsid w:val="005C2C8A"/>
    <w:rsid w:val="005C2F0F"/>
    <w:rsid w:val="005C516A"/>
    <w:rsid w:val="005C73DA"/>
    <w:rsid w:val="005D3069"/>
    <w:rsid w:val="005D3EB4"/>
    <w:rsid w:val="005D6D16"/>
    <w:rsid w:val="005E140C"/>
    <w:rsid w:val="005E15AD"/>
    <w:rsid w:val="005E4D9F"/>
    <w:rsid w:val="005E53C9"/>
    <w:rsid w:val="005E5BA9"/>
    <w:rsid w:val="005E6133"/>
    <w:rsid w:val="005F06CD"/>
    <w:rsid w:val="005F0753"/>
    <w:rsid w:val="005F0F16"/>
    <w:rsid w:val="005F1DD0"/>
    <w:rsid w:val="005F59AD"/>
    <w:rsid w:val="005F6732"/>
    <w:rsid w:val="005F71DC"/>
    <w:rsid w:val="00600025"/>
    <w:rsid w:val="006008FC"/>
    <w:rsid w:val="00601A43"/>
    <w:rsid w:val="006040C7"/>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722D"/>
    <w:rsid w:val="00627FF7"/>
    <w:rsid w:val="0063000B"/>
    <w:rsid w:val="00634FB9"/>
    <w:rsid w:val="00635C8B"/>
    <w:rsid w:val="00636ABF"/>
    <w:rsid w:val="0064361B"/>
    <w:rsid w:val="00644095"/>
    <w:rsid w:val="006445BC"/>
    <w:rsid w:val="006469F7"/>
    <w:rsid w:val="006474D8"/>
    <w:rsid w:val="00656D3B"/>
    <w:rsid w:val="006605B2"/>
    <w:rsid w:val="00660C5F"/>
    <w:rsid w:val="00660DA3"/>
    <w:rsid w:val="00660F28"/>
    <w:rsid w:val="00661355"/>
    <w:rsid w:val="006641A3"/>
    <w:rsid w:val="00671B4C"/>
    <w:rsid w:val="00675965"/>
    <w:rsid w:val="006777BA"/>
    <w:rsid w:val="0068083B"/>
    <w:rsid w:val="00680DF5"/>
    <w:rsid w:val="006818C4"/>
    <w:rsid w:val="0068278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1F2C"/>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E2B"/>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281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42802"/>
    <w:rsid w:val="00845C90"/>
    <w:rsid w:val="0084602D"/>
    <w:rsid w:val="008470A9"/>
    <w:rsid w:val="00847C32"/>
    <w:rsid w:val="00854E6D"/>
    <w:rsid w:val="0086163C"/>
    <w:rsid w:val="00861B70"/>
    <w:rsid w:val="00862560"/>
    <w:rsid w:val="00864082"/>
    <w:rsid w:val="00865EF6"/>
    <w:rsid w:val="008663DF"/>
    <w:rsid w:val="0086672B"/>
    <w:rsid w:val="0086699A"/>
    <w:rsid w:val="008676F7"/>
    <w:rsid w:val="008712A3"/>
    <w:rsid w:val="00876B1C"/>
    <w:rsid w:val="00876BDE"/>
    <w:rsid w:val="00877260"/>
    <w:rsid w:val="0087730C"/>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1702"/>
    <w:rsid w:val="0092375C"/>
    <w:rsid w:val="00924DDB"/>
    <w:rsid w:val="00927B76"/>
    <w:rsid w:val="00932960"/>
    <w:rsid w:val="0093404F"/>
    <w:rsid w:val="009360CB"/>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72D8"/>
    <w:rsid w:val="009705FE"/>
    <w:rsid w:val="00971EF0"/>
    <w:rsid w:val="00971F8D"/>
    <w:rsid w:val="00977902"/>
    <w:rsid w:val="00981606"/>
    <w:rsid w:val="00981814"/>
    <w:rsid w:val="00983500"/>
    <w:rsid w:val="009863E9"/>
    <w:rsid w:val="0099184F"/>
    <w:rsid w:val="00991BF9"/>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10335"/>
    <w:rsid w:val="00A11D6B"/>
    <w:rsid w:val="00A12125"/>
    <w:rsid w:val="00A15462"/>
    <w:rsid w:val="00A17C62"/>
    <w:rsid w:val="00A200B9"/>
    <w:rsid w:val="00A22E1F"/>
    <w:rsid w:val="00A24ADC"/>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3973"/>
    <w:rsid w:val="00AB62BB"/>
    <w:rsid w:val="00AC10A8"/>
    <w:rsid w:val="00AC5887"/>
    <w:rsid w:val="00AC68A3"/>
    <w:rsid w:val="00AD1AD3"/>
    <w:rsid w:val="00AD1E17"/>
    <w:rsid w:val="00AD4F7A"/>
    <w:rsid w:val="00AD59C6"/>
    <w:rsid w:val="00AE0BF8"/>
    <w:rsid w:val="00AE119C"/>
    <w:rsid w:val="00AE18A3"/>
    <w:rsid w:val="00AE1D21"/>
    <w:rsid w:val="00AE2251"/>
    <w:rsid w:val="00AE5201"/>
    <w:rsid w:val="00B0370E"/>
    <w:rsid w:val="00B03718"/>
    <w:rsid w:val="00B049F0"/>
    <w:rsid w:val="00B04EEC"/>
    <w:rsid w:val="00B04F95"/>
    <w:rsid w:val="00B05B4A"/>
    <w:rsid w:val="00B0737E"/>
    <w:rsid w:val="00B1059A"/>
    <w:rsid w:val="00B15872"/>
    <w:rsid w:val="00B1599E"/>
    <w:rsid w:val="00B15DB4"/>
    <w:rsid w:val="00B20C8D"/>
    <w:rsid w:val="00B20CF2"/>
    <w:rsid w:val="00B21D6F"/>
    <w:rsid w:val="00B223BD"/>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11E"/>
    <w:rsid w:val="00B95553"/>
    <w:rsid w:val="00B96226"/>
    <w:rsid w:val="00BA1230"/>
    <w:rsid w:val="00BA1EF2"/>
    <w:rsid w:val="00BA29EF"/>
    <w:rsid w:val="00BA3FC9"/>
    <w:rsid w:val="00BA708B"/>
    <w:rsid w:val="00BB5D84"/>
    <w:rsid w:val="00BC30F2"/>
    <w:rsid w:val="00BC6208"/>
    <w:rsid w:val="00BC67D9"/>
    <w:rsid w:val="00BC7D51"/>
    <w:rsid w:val="00BD3F67"/>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752"/>
    <w:rsid w:val="00C729BC"/>
    <w:rsid w:val="00C74828"/>
    <w:rsid w:val="00C76010"/>
    <w:rsid w:val="00C8063F"/>
    <w:rsid w:val="00C82189"/>
    <w:rsid w:val="00C82C3C"/>
    <w:rsid w:val="00C82EA4"/>
    <w:rsid w:val="00C8384B"/>
    <w:rsid w:val="00C84452"/>
    <w:rsid w:val="00C8468B"/>
    <w:rsid w:val="00C87477"/>
    <w:rsid w:val="00C900FE"/>
    <w:rsid w:val="00C925A2"/>
    <w:rsid w:val="00C93603"/>
    <w:rsid w:val="00C952EE"/>
    <w:rsid w:val="00CA228C"/>
    <w:rsid w:val="00CA24DC"/>
    <w:rsid w:val="00CA2C2C"/>
    <w:rsid w:val="00CA5793"/>
    <w:rsid w:val="00CA5CD2"/>
    <w:rsid w:val="00CB1DFA"/>
    <w:rsid w:val="00CB37FE"/>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79DC"/>
    <w:rsid w:val="00CE7B2C"/>
    <w:rsid w:val="00CF2A13"/>
    <w:rsid w:val="00CF373C"/>
    <w:rsid w:val="00CF49F4"/>
    <w:rsid w:val="00CF4EF4"/>
    <w:rsid w:val="00CF57FE"/>
    <w:rsid w:val="00CF591F"/>
    <w:rsid w:val="00CF6384"/>
    <w:rsid w:val="00D02A22"/>
    <w:rsid w:val="00D037D0"/>
    <w:rsid w:val="00D03DF7"/>
    <w:rsid w:val="00D05F26"/>
    <w:rsid w:val="00D11E4A"/>
    <w:rsid w:val="00D14AB0"/>
    <w:rsid w:val="00D151D8"/>
    <w:rsid w:val="00D203A1"/>
    <w:rsid w:val="00D21159"/>
    <w:rsid w:val="00D219B1"/>
    <w:rsid w:val="00D24BFB"/>
    <w:rsid w:val="00D2693E"/>
    <w:rsid w:val="00D26E15"/>
    <w:rsid w:val="00D26E2F"/>
    <w:rsid w:val="00D30EAE"/>
    <w:rsid w:val="00D331C8"/>
    <w:rsid w:val="00D344FE"/>
    <w:rsid w:val="00D3615A"/>
    <w:rsid w:val="00D4045D"/>
    <w:rsid w:val="00D419B2"/>
    <w:rsid w:val="00D42742"/>
    <w:rsid w:val="00D437C3"/>
    <w:rsid w:val="00D4430C"/>
    <w:rsid w:val="00D44571"/>
    <w:rsid w:val="00D44D9B"/>
    <w:rsid w:val="00D459B7"/>
    <w:rsid w:val="00D45B33"/>
    <w:rsid w:val="00D55170"/>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0AB"/>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3390"/>
    <w:rsid w:val="00DE5195"/>
    <w:rsid w:val="00DE6763"/>
    <w:rsid w:val="00DF0BB3"/>
    <w:rsid w:val="00DF232C"/>
    <w:rsid w:val="00DF25DE"/>
    <w:rsid w:val="00DF26E9"/>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3CF"/>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1025"/>
    <w:rsid w:val="00E626CC"/>
    <w:rsid w:val="00E6506B"/>
    <w:rsid w:val="00E66587"/>
    <w:rsid w:val="00E703DE"/>
    <w:rsid w:val="00E706A0"/>
    <w:rsid w:val="00E773B0"/>
    <w:rsid w:val="00E82488"/>
    <w:rsid w:val="00E83135"/>
    <w:rsid w:val="00E83988"/>
    <w:rsid w:val="00E84EFE"/>
    <w:rsid w:val="00E8716A"/>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46"/>
    <w:rsid w:val="00EF5DF2"/>
    <w:rsid w:val="00EF5F35"/>
    <w:rsid w:val="00EF6F57"/>
    <w:rsid w:val="00EF7CF5"/>
    <w:rsid w:val="00F01FEB"/>
    <w:rsid w:val="00F056F4"/>
    <w:rsid w:val="00F05AB4"/>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5F81"/>
    <w:rsid w:val="00F6614D"/>
    <w:rsid w:val="00F66FD0"/>
    <w:rsid w:val="00F67465"/>
    <w:rsid w:val="00F67DA1"/>
    <w:rsid w:val="00F7216E"/>
    <w:rsid w:val="00F74353"/>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71A7"/>
    <w:rsid w:val="00FA7242"/>
    <w:rsid w:val="00FB0892"/>
    <w:rsid w:val="00FB1F91"/>
    <w:rsid w:val="00FB29A7"/>
    <w:rsid w:val="00FB30C0"/>
    <w:rsid w:val="00FB4E2F"/>
    <w:rsid w:val="00FB5B17"/>
    <w:rsid w:val="00FB5CEF"/>
    <w:rsid w:val="00FB75CE"/>
    <w:rsid w:val="00FC0E38"/>
    <w:rsid w:val="00FC5446"/>
    <w:rsid w:val="00FD2746"/>
    <w:rsid w:val="00FE1B3A"/>
    <w:rsid w:val="00FE3859"/>
    <w:rsid w:val="00FE48E5"/>
    <w:rsid w:val="00FE684C"/>
    <w:rsid w:val="00FE719E"/>
    <w:rsid w:val="00FF020B"/>
    <w:rsid w:val="00FF13FB"/>
    <w:rsid w:val="00FF323F"/>
    <w:rsid w:val="00FF543C"/>
    <w:rsid w:val="00FF55C6"/>
    <w:rsid w:val="00FF7A4D"/>
    <w:rsid w:val="00FF7B14"/>
    <w:rsid w:val="15745CBB"/>
    <w:rsid w:val="1AD70146"/>
    <w:rsid w:val="21705F43"/>
    <w:rsid w:val="261D1148"/>
    <w:rsid w:val="2CD06C2C"/>
    <w:rsid w:val="48A34A9E"/>
    <w:rsid w:val="4A506004"/>
    <w:rsid w:val="61B362BB"/>
    <w:rsid w:val="75F74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qFormat/>
    <w:uiPriority w:val="99"/>
    <w:pPr>
      <w:jc w:val="left"/>
    </w:pPr>
  </w:style>
  <w:style w:type="paragraph" w:styleId="12">
    <w:name w:val="Body Text"/>
    <w:basedOn w:val="1"/>
    <w:link w:val="49"/>
    <w:qFormat/>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qFormat/>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qFormat/>
    <w:uiPriority w:val="99"/>
    <w:rPr>
      <w:color w:val="800080"/>
      <w:u w:val="single"/>
    </w:rPr>
  </w:style>
  <w:style w:type="character" w:styleId="37">
    <w:name w:val="HTML Typewriter"/>
    <w:qFormat/>
    <w:uiPriority w:val="99"/>
    <w:rPr>
      <w:rFonts w:ascii="宋体" w:hAnsi="宋体" w:eastAsia="宋体" w:cs="宋体"/>
      <w:sz w:val="24"/>
      <w:szCs w:val="24"/>
    </w:rPr>
  </w:style>
  <w:style w:type="character" w:styleId="38">
    <w:name w:val="Hyperlink"/>
    <w:qFormat/>
    <w:uiPriority w:val="99"/>
    <w:rPr>
      <w:rFonts w:cs="Times New Roman"/>
      <w:color w:val="auto"/>
      <w:u w:val="none"/>
    </w:rPr>
  </w:style>
  <w:style w:type="character" w:styleId="39">
    <w:name w:val="annotation reference"/>
    <w:basedOn w:val="33"/>
    <w:semiHidden/>
    <w:unhideWhenUsed/>
    <w:qFormat/>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qFormat/>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qFormat/>
    <w:uiPriority w:val="99"/>
    <w:rPr>
      <w:rFonts w:ascii="Times New Roman" w:hAnsi="Times New Roman" w:eastAsia="宋体" w:cs="Times New Roman"/>
      <w:kern w:val="0"/>
      <w:sz w:val="20"/>
      <w:szCs w:val="20"/>
    </w:rPr>
  </w:style>
  <w:style w:type="paragraph" w:customStyle="1" w:styleId="5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qFormat/>
    <w:uiPriority w:val="99"/>
    <w:rPr>
      <w:rFonts w:ascii="宋体" w:hAnsi="Times New Roman" w:eastAsia="宋体" w:cs="Times New Roman"/>
      <w:kern w:val="0"/>
      <w:sz w:val="24"/>
      <w:szCs w:val="20"/>
      <w:u w:color="000000"/>
    </w:rPr>
  </w:style>
  <w:style w:type="paragraph" w:customStyle="1" w:styleId="104">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14:textFill>
        <w14:solidFill>
          <w14:schemeClr w14:val="tx1"/>
        </w14:solidFill>
      </w14:textFill>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135">
    <w:name w:val="标题    4"/>
    <w:basedOn w:val="1"/>
    <w:qFormat/>
    <w:uiPriority w:val="0"/>
    <w:pPr>
      <w:snapToGrid w:val="0"/>
      <w:spacing w:beforeLines="100" w:line="300" w:lineRule="exact"/>
      <w:ind w:right="471"/>
      <w:jc w:val="left"/>
    </w:pPr>
    <w:rPr>
      <w:rFonts w:ascii="宋体" w:hAnsi="宋体" w:eastAsia="黑体" w:cs="Times New Roman"/>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7A40B-62FD-40D7-88A7-AE2717572410}">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47</Pages>
  <Words>18208</Words>
  <Characters>19081</Characters>
  <Lines>158</Lines>
  <Paragraphs>44</Paragraphs>
  <TotalTime>20</TotalTime>
  <ScaleCrop>false</ScaleCrop>
  <LinksUpToDate>false</LinksUpToDate>
  <CharactersWithSpaces>21008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2023-01-17T01:17:00Z</dcterms:created>
  <dc:creator>黄炜</dc:creator>
  <cp:lastModifiedBy>中采-熊萍</cp:lastModifiedBy>
  <cp:lastPrinted>2020-11-09T11:25:00Z</cp:lastPrinted>
  <dcterms:modified xsi:type="dcterms:W3CDTF">2023-01-30T00:37:23Z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E929E126798F4A8E9F8B1F9A7951C750</vt:lpwstr>
  </property>
</Properties>
</file>