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hint="eastAsia" w:ascii="宋体" w:hAnsi="宋体" w:eastAsia="宋体" w:cs="宋体"/>
          <w:bCs/>
          <w:color w:val="000000" w:themeColor="text1"/>
          <w:sz w:val="30"/>
          <w:highlight w:val="none"/>
        </w:rPr>
      </w:pPr>
    </w:p>
    <w:p>
      <w:pPr>
        <w:ind w:left="660"/>
        <w:rPr>
          <w:rFonts w:hint="eastAsia" w:ascii="宋体" w:hAnsi="宋体" w:eastAsia="宋体" w:cs="宋体"/>
          <w:bCs/>
          <w:color w:val="000000" w:themeColor="text1"/>
          <w:sz w:val="30"/>
          <w:highlight w:val="none"/>
        </w:rPr>
      </w:pPr>
    </w:p>
    <w:p>
      <w:pPr>
        <w:ind w:left="660"/>
        <w:rPr>
          <w:rFonts w:hint="eastAsia" w:ascii="宋体" w:hAnsi="宋体" w:eastAsia="宋体" w:cs="宋体"/>
          <w:bCs/>
          <w:color w:val="000000" w:themeColor="text1"/>
          <w:sz w:val="30"/>
          <w:highlight w:val="none"/>
        </w:rPr>
      </w:pPr>
    </w:p>
    <w:p>
      <w:pPr>
        <w:ind w:left="660"/>
        <w:rPr>
          <w:rFonts w:hint="eastAsia" w:ascii="宋体" w:hAnsi="宋体" w:eastAsia="宋体" w:cs="宋体"/>
          <w:bCs/>
          <w:color w:val="000000" w:themeColor="text1"/>
          <w:sz w:val="30"/>
          <w:highlight w:val="none"/>
        </w:rPr>
      </w:pPr>
    </w:p>
    <w:p>
      <w:pPr>
        <w:ind w:left="660"/>
        <w:rPr>
          <w:rFonts w:hint="eastAsia" w:ascii="宋体" w:hAnsi="宋体" w:eastAsia="宋体" w:cs="宋体"/>
          <w:bCs/>
          <w:color w:val="000000" w:themeColor="text1"/>
          <w:sz w:val="30"/>
          <w:highlight w:val="none"/>
        </w:rPr>
      </w:pPr>
    </w:p>
    <w:p>
      <w:pPr>
        <w:snapToGrid w:val="0"/>
        <w:spacing w:line="360" w:lineRule="auto"/>
        <w:jc w:val="center"/>
        <w:rPr>
          <w:rFonts w:hint="eastAsia" w:ascii="宋体" w:hAnsi="宋体" w:eastAsia="宋体" w:cs="宋体"/>
          <w:b/>
          <w:spacing w:val="170"/>
          <w:sz w:val="84"/>
          <w:szCs w:val="84"/>
          <w:highlight w:val="none"/>
        </w:rPr>
      </w:pPr>
      <w:r>
        <w:rPr>
          <w:rFonts w:hint="eastAsia" w:ascii="宋体" w:hAnsi="宋体" w:eastAsia="宋体" w:cs="宋体"/>
          <w:b/>
          <w:spacing w:val="170"/>
          <w:kern w:val="0"/>
          <w:sz w:val="84"/>
          <w:szCs w:val="84"/>
          <w:highlight w:val="none"/>
        </w:rPr>
        <w:t>采购</w:t>
      </w:r>
      <w:r>
        <w:rPr>
          <w:rFonts w:hint="eastAsia" w:ascii="宋体" w:hAnsi="宋体" w:eastAsia="宋体" w:cs="宋体"/>
          <w:b/>
          <w:spacing w:val="170"/>
          <w:sz w:val="84"/>
          <w:szCs w:val="84"/>
          <w:highlight w:val="none"/>
        </w:rPr>
        <w:t>文件</w:t>
      </w:r>
    </w:p>
    <w:p>
      <w:pPr>
        <w:jc w:val="center"/>
        <w:rPr>
          <w:rFonts w:hint="eastAsia" w:ascii="宋体" w:hAnsi="宋体" w:eastAsia="宋体" w:cs="宋体"/>
          <w:bCs/>
          <w:color w:val="000000" w:themeColor="text1"/>
          <w:sz w:val="30"/>
          <w:highlight w:val="none"/>
        </w:rPr>
      </w:pPr>
      <w:r>
        <w:rPr>
          <w:rFonts w:hint="eastAsia" w:ascii="宋体" w:hAnsi="宋体" w:eastAsia="宋体" w:cs="宋体"/>
          <w:bCs/>
          <w:color w:val="000000" w:themeColor="text1"/>
          <w:sz w:val="30"/>
          <w:highlight w:val="none"/>
        </w:rPr>
        <w:t>（服务类）</w:t>
      </w:r>
    </w:p>
    <w:p>
      <w:pPr>
        <w:rPr>
          <w:rFonts w:hint="eastAsia" w:ascii="宋体" w:hAnsi="宋体" w:eastAsia="宋体" w:cs="宋体"/>
          <w:bCs/>
          <w:color w:val="000000" w:themeColor="text1"/>
          <w:sz w:val="30"/>
          <w:highlight w:val="none"/>
        </w:rPr>
      </w:pPr>
    </w:p>
    <w:p>
      <w:pPr>
        <w:jc w:val="left"/>
        <w:rPr>
          <w:rFonts w:hint="eastAsia" w:ascii="宋体" w:hAnsi="宋体" w:eastAsia="宋体" w:cs="宋体"/>
          <w:bCs/>
          <w:color w:val="000000" w:themeColor="text1"/>
          <w:spacing w:val="20"/>
          <w:w w:val="90"/>
          <w:sz w:val="48"/>
          <w:szCs w:val="48"/>
          <w:highlight w:val="none"/>
        </w:rPr>
      </w:pPr>
    </w:p>
    <w:p>
      <w:pPr>
        <w:jc w:val="left"/>
        <w:rPr>
          <w:rFonts w:hint="eastAsia" w:ascii="宋体" w:hAnsi="宋体" w:eastAsia="宋体" w:cs="宋体"/>
          <w:bCs/>
          <w:color w:val="000000" w:themeColor="text1"/>
          <w:spacing w:val="20"/>
          <w:w w:val="90"/>
          <w:sz w:val="48"/>
          <w:szCs w:val="48"/>
          <w:highlight w:val="none"/>
        </w:rPr>
      </w:pPr>
    </w:p>
    <w:p>
      <w:pPr>
        <w:jc w:val="left"/>
        <w:rPr>
          <w:rFonts w:hint="eastAsia" w:ascii="宋体" w:hAnsi="宋体" w:eastAsia="宋体" w:cs="宋体"/>
          <w:bCs/>
          <w:sz w:val="30"/>
          <w:highlight w:val="none"/>
        </w:rPr>
      </w:pPr>
    </w:p>
    <w:p>
      <w:pPr>
        <w:jc w:val="left"/>
        <w:rPr>
          <w:rFonts w:hint="eastAsia" w:ascii="宋体" w:hAnsi="宋体" w:eastAsia="宋体" w:cs="宋体"/>
          <w:bCs/>
          <w:sz w:val="30"/>
          <w:highlight w:val="none"/>
        </w:rPr>
      </w:pPr>
    </w:p>
    <w:p>
      <w:pPr>
        <w:spacing w:line="360" w:lineRule="auto"/>
        <w:ind w:firstLine="1680" w:firstLineChars="600"/>
        <w:rPr>
          <w:rFonts w:hint="eastAsia" w:ascii="宋体" w:hAnsi="宋体" w:eastAsia="宋体" w:cs="宋体"/>
          <w:bCs/>
          <w:sz w:val="28"/>
          <w:szCs w:val="30"/>
          <w:highlight w:val="none"/>
        </w:rPr>
      </w:pPr>
      <w:r>
        <w:rPr>
          <w:rFonts w:hint="eastAsia" w:ascii="宋体" w:hAnsi="宋体" w:eastAsia="宋体" w:cs="宋体"/>
          <w:bCs/>
          <w:sz w:val="28"/>
          <w:szCs w:val="30"/>
          <w:highlight w:val="none"/>
        </w:rPr>
        <w:t>采购项目编号：JSRHJC2023002</w:t>
      </w:r>
    </w:p>
    <w:p>
      <w:pPr>
        <w:spacing w:line="360" w:lineRule="auto"/>
        <w:ind w:left="3635" w:leftChars="798" w:hanging="1960" w:hangingChars="700"/>
        <w:rPr>
          <w:rFonts w:hint="eastAsia" w:ascii="宋体" w:hAnsi="宋体" w:eastAsia="宋体" w:cs="宋体"/>
          <w:bCs/>
          <w:sz w:val="28"/>
          <w:szCs w:val="30"/>
          <w:highlight w:val="none"/>
        </w:rPr>
      </w:pPr>
      <w:r>
        <w:rPr>
          <w:rFonts w:hint="eastAsia" w:ascii="宋体" w:hAnsi="宋体" w:eastAsia="宋体" w:cs="宋体"/>
          <w:bCs/>
          <w:sz w:val="28"/>
          <w:szCs w:val="30"/>
          <w:highlight w:val="none"/>
        </w:rPr>
        <w:t>采购项目名称：</w:t>
      </w:r>
      <w:bookmarkStart w:id="68" w:name="_GoBack"/>
      <w:r>
        <w:rPr>
          <w:rFonts w:hint="eastAsia" w:ascii="宋体" w:hAnsi="宋体" w:eastAsia="宋体" w:cs="宋体"/>
          <w:bCs/>
          <w:sz w:val="28"/>
          <w:szCs w:val="30"/>
          <w:highlight w:val="none"/>
        </w:rPr>
        <w:t>常州市普通国省道、县道公路交通情况调查站点布局方案研究项目</w:t>
      </w:r>
      <w:bookmarkEnd w:id="68"/>
      <w:r>
        <w:rPr>
          <w:rFonts w:hint="eastAsia" w:ascii="宋体" w:hAnsi="宋体" w:eastAsia="宋体" w:cs="宋体"/>
          <w:bCs/>
          <w:sz w:val="28"/>
          <w:szCs w:val="30"/>
          <w:highlight w:val="none"/>
        </w:rPr>
        <w:t xml:space="preserve"> </w:t>
      </w:r>
    </w:p>
    <w:p>
      <w:pPr>
        <w:spacing w:line="360" w:lineRule="auto"/>
        <w:ind w:firstLine="1680" w:firstLineChars="600"/>
        <w:jc w:val="left"/>
        <w:rPr>
          <w:rFonts w:hint="eastAsia" w:ascii="宋体" w:hAnsi="宋体" w:eastAsia="宋体" w:cs="宋体"/>
          <w:bCs/>
          <w:sz w:val="28"/>
          <w:szCs w:val="30"/>
          <w:highlight w:val="none"/>
        </w:rPr>
      </w:pPr>
      <w:r>
        <w:rPr>
          <w:rFonts w:hint="eastAsia" w:ascii="宋体" w:hAnsi="宋体" w:eastAsia="宋体" w:cs="宋体"/>
          <w:bCs/>
          <w:sz w:val="28"/>
          <w:szCs w:val="30"/>
          <w:highlight w:val="none"/>
        </w:rPr>
        <w:t>采   购   人：常州市公路事业发展中心</w:t>
      </w:r>
    </w:p>
    <w:p>
      <w:pPr>
        <w:spacing w:line="360" w:lineRule="auto"/>
        <w:ind w:firstLine="1680" w:firstLineChars="600"/>
        <w:jc w:val="left"/>
        <w:rPr>
          <w:rFonts w:hint="eastAsia" w:ascii="宋体" w:hAnsi="宋体" w:eastAsia="宋体" w:cs="宋体"/>
          <w:bCs/>
          <w:sz w:val="28"/>
          <w:szCs w:val="30"/>
          <w:highlight w:val="none"/>
        </w:rPr>
      </w:pPr>
      <w:r>
        <w:rPr>
          <w:rFonts w:hint="eastAsia" w:ascii="宋体" w:hAnsi="宋体" w:eastAsia="宋体" w:cs="宋体"/>
          <w:bCs/>
          <w:sz w:val="28"/>
          <w:szCs w:val="30"/>
          <w:highlight w:val="none"/>
        </w:rPr>
        <w:t>采购代理机构：江苏仁禾中衡工程咨询房地产估价有限公司</w:t>
      </w:r>
    </w:p>
    <w:p>
      <w:pPr>
        <w:rPr>
          <w:rFonts w:hint="eastAsia" w:ascii="宋体" w:hAnsi="宋体" w:eastAsia="宋体" w:cs="宋体"/>
          <w:bCs/>
          <w:color w:val="000000" w:themeColor="text1"/>
          <w:sz w:val="32"/>
          <w:highlight w:val="none"/>
        </w:rPr>
      </w:pPr>
    </w:p>
    <w:p>
      <w:pPr>
        <w:rPr>
          <w:rFonts w:hint="eastAsia" w:ascii="宋体" w:hAnsi="宋体" w:eastAsia="宋体" w:cs="宋体"/>
          <w:bCs/>
          <w:color w:val="000000" w:themeColor="text1"/>
          <w:sz w:val="30"/>
          <w:highlight w:val="none"/>
        </w:rPr>
      </w:pPr>
    </w:p>
    <w:p>
      <w:pPr>
        <w:rPr>
          <w:rFonts w:hint="eastAsia" w:ascii="宋体" w:hAnsi="宋体" w:eastAsia="宋体" w:cs="宋体"/>
          <w:bCs/>
          <w:color w:val="000000" w:themeColor="text1"/>
          <w:sz w:val="30"/>
          <w:highlight w:val="none"/>
        </w:rPr>
      </w:pPr>
    </w:p>
    <w:p>
      <w:pPr>
        <w:jc w:val="center"/>
        <w:rPr>
          <w:rFonts w:hint="eastAsia" w:ascii="宋体" w:hAnsi="宋体" w:eastAsia="宋体" w:cs="宋体"/>
          <w:bCs/>
          <w:color w:val="000000" w:themeColor="text1"/>
          <w:sz w:val="30"/>
          <w:szCs w:val="30"/>
          <w:highlight w:val="none"/>
        </w:rPr>
      </w:pPr>
      <w:r>
        <w:rPr>
          <w:rFonts w:hint="eastAsia" w:ascii="宋体" w:hAnsi="宋体" w:eastAsia="宋体" w:cs="宋体"/>
          <w:bCs/>
          <w:color w:val="000000" w:themeColor="text1"/>
          <w:sz w:val="30"/>
          <w:szCs w:val="30"/>
          <w:highlight w:val="none"/>
        </w:rPr>
        <w:t>二○二三年一月</w:t>
      </w:r>
      <w:bookmarkStart w:id="0" w:name="报价方须知前附表"/>
      <w:bookmarkEnd w:id="0"/>
      <w:bookmarkStart w:id="1" w:name="_Toc55147045"/>
    </w:p>
    <w:p>
      <w:pPr>
        <w:rPr>
          <w:rFonts w:hint="eastAsia" w:ascii="宋体" w:hAnsi="宋体" w:eastAsia="宋体" w:cs="宋体"/>
          <w:bCs/>
          <w:color w:val="000000" w:themeColor="text1"/>
          <w:sz w:val="30"/>
          <w:szCs w:val="30"/>
          <w:highlight w:val="none"/>
        </w:rPr>
      </w:pPr>
    </w:p>
    <w:p>
      <w:pPr>
        <w:pStyle w:val="121"/>
        <w:rPr>
          <w:rFonts w:hint="eastAsia" w:ascii="宋体" w:hAnsi="宋体" w:eastAsia="宋体" w:cs="宋体"/>
          <w:highlight w:val="none"/>
        </w:rPr>
      </w:pPr>
      <w:bookmarkStart w:id="2" w:name="_Toc92976614"/>
      <w:bookmarkStart w:id="3" w:name="_Toc92976583"/>
      <w:r>
        <w:rPr>
          <w:rFonts w:hint="eastAsia" w:ascii="宋体" w:hAnsi="宋体" w:eastAsia="宋体" w:cs="宋体"/>
          <w:highlight w:val="none"/>
        </w:rPr>
        <w:t>供应商须知</w:t>
      </w:r>
      <w:bookmarkEnd w:id="2"/>
      <w:bookmarkEnd w:id="3"/>
    </w:p>
    <w:tbl>
      <w:tblPr>
        <w:tblStyle w:val="31"/>
        <w:tblW w:w="88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757"/>
        <w:gridCol w:w="81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61"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hint="eastAsia" w:ascii="宋体" w:hAnsi="宋体" w:eastAsia="宋体" w:cs="宋体"/>
                <w:spacing w:val="2"/>
                <w:sz w:val="24"/>
                <w:highlight w:val="none"/>
              </w:rPr>
            </w:pPr>
            <w:r>
              <w:rPr>
                <w:rFonts w:hint="eastAsia" w:ascii="宋体" w:hAnsi="宋体" w:eastAsia="宋体" w:cs="宋体"/>
                <w:spacing w:val="2"/>
                <w:sz w:val="24"/>
                <w:highlight w:val="none"/>
                <w:lang w:val="zh-CN"/>
              </w:rPr>
              <w:t>项号</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hint="eastAsia" w:ascii="宋体" w:hAnsi="宋体" w:eastAsia="宋体" w:cs="宋体"/>
                <w:spacing w:val="2"/>
                <w:sz w:val="24"/>
                <w:highlight w:val="none"/>
              </w:rPr>
            </w:pPr>
            <w:r>
              <w:rPr>
                <w:rFonts w:hint="eastAsia" w:ascii="宋体" w:hAnsi="宋体" w:eastAsia="宋体" w:cs="宋体"/>
                <w:spacing w:val="2"/>
                <w:sz w:val="24"/>
                <w:highlight w:val="none"/>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38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hint="eastAsia" w:ascii="宋体" w:hAnsi="宋体" w:eastAsia="宋体" w:cs="宋体"/>
                <w:spacing w:val="2"/>
                <w:sz w:val="24"/>
                <w:highlight w:val="none"/>
                <w:lang w:val="zh-CN"/>
              </w:rPr>
            </w:pPr>
            <w:r>
              <w:rPr>
                <w:rFonts w:hint="eastAsia" w:ascii="宋体" w:hAnsi="宋体" w:eastAsia="宋体" w:cs="宋体"/>
                <w:spacing w:val="2"/>
                <w:sz w:val="24"/>
                <w:highlight w:val="none"/>
                <w:lang w:val="zh-CN"/>
              </w:rPr>
              <w:t>1</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hint="eastAsia" w:ascii="宋体" w:hAnsi="宋体" w:eastAsia="宋体" w:cs="宋体"/>
                <w:sz w:val="24"/>
                <w:highlight w:val="none"/>
              </w:rPr>
            </w:pPr>
            <w:r>
              <w:rPr>
                <w:rFonts w:hint="eastAsia" w:ascii="宋体" w:hAnsi="宋体" w:eastAsia="宋体" w:cs="宋体"/>
                <w:spacing w:val="2"/>
                <w:sz w:val="24"/>
                <w:highlight w:val="none"/>
                <w:lang w:val="zh-CN"/>
              </w:rPr>
              <w:t xml:space="preserve">采购项目名称：常州市普通国省道、县道公路交通情况调查站点布局方案研究项目 </w:t>
            </w:r>
          </w:p>
          <w:p>
            <w:pPr>
              <w:snapToGrid w:val="0"/>
              <w:spacing w:line="26" w:lineRule="atLeast"/>
              <w:rPr>
                <w:rFonts w:hint="eastAsia" w:ascii="宋体" w:hAnsi="宋体" w:eastAsia="宋体" w:cs="宋体"/>
                <w:b/>
                <w:bCs/>
                <w:spacing w:val="2"/>
                <w:sz w:val="24"/>
                <w:highlight w:val="none"/>
              </w:rPr>
            </w:pPr>
            <w:r>
              <w:rPr>
                <w:rFonts w:hint="eastAsia" w:ascii="宋体" w:hAnsi="宋体" w:eastAsia="宋体" w:cs="宋体"/>
                <w:spacing w:val="2"/>
                <w:sz w:val="24"/>
                <w:highlight w:val="none"/>
                <w:lang w:val="zh-CN"/>
              </w:rPr>
              <w:t>采购项目编号：JSRHJC202300</w:t>
            </w:r>
            <w:r>
              <w:rPr>
                <w:rFonts w:hint="eastAsia" w:ascii="宋体" w:hAnsi="宋体" w:eastAsia="宋体" w:cs="宋体"/>
                <w:spacing w:val="2"/>
                <w:sz w:val="24"/>
                <w:highlight w:val="none"/>
              </w:rPr>
              <w:t>2</w:t>
            </w:r>
          </w:p>
          <w:p>
            <w:pPr>
              <w:snapToGrid w:val="0"/>
              <w:spacing w:line="26" w:lineRule="atLeast"/>
              <w:rPr>
                <w:rFonts w:hint="eastAsia" w:ascii="宋体" w:hAnsi="宋体" w:eastAsia="宋体" w:cs="宋体"/>
                <w:spacing w:val="2"/>
                <w:sz w:val="24"/>
                <w:highlight w:val="none"/>
              </w:rPr>
            </w:pPr>
            <w:r>
              <w:rPr>
                <w:rFonts w:hint="eastAsia" w:ascii="宋体" w:hAnsi="宋体" w:eastAsia="宋体" w:cs="宋体"/>
                <w:spacing w:val="2"/>
                <w:sz w:val="24"/>
                <w:highlight w:val="none"/>
                <w:lang w:val="zh-CN"/>
              </w:rPr>
              <w:t>合同履行期限</w:t>
            </w:r>
            <w:r>
              <w:rPr>
                <w:rFonts w:hint="eastAsia" w:ascii="宋体" w:hAnsi="宋体" w:eastAsia="宋体" w:cs="宋体"/>
                <w:spacing w:val="2"/>
                <w:sz w:val="24"/>
                <w:highlight w:val="none"/>
              </w:rPr>
              <w:t>：自合同签订之日起至2023年3月</w:t>
            </w:r>
            <w:r>
              <w:rPr>
                <w:rFonts w:hint="eastAsia" w:ascii="宋体" w:hAnsi="宋体" w:eastAsia="宋体" w:cs="宋体"/>
                <w:spacing w:val="2"/>
                <w:sz w:val="24"/>
                <w:highlight w:val="none"/>
                <w:lang w:val="zh-CN"/>
              </w:rPr>
              <w:t>。</w:t>
            </w:r>
            <w:r>
              <w:rPr>
                <w:rFonts w:hint="eastAsia" w:ascii="宋体" w:hAnsi="宋体" w:eastAsia="宋体" w:cs="宋体"/>
                <w:spacing w:val="2"/>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3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hint="eastAsia" w:ascii="宋体" w:hAnsi="宋体" w:eastAsia="宋体" w:cs="宋体"/>
                <w:spacing w:val="2"/>
                <w:sz w:val="24"/>
                <w:highlight w:val="none"/>
                <w:lang w:val="zh-CN"/>
              </w:rPr>
            </w:pPr>
            <w:r>
              <w:rPr>
                <w:rFonts w:hint="eastAsia" w:ascii="宋体" w:hAnsi="宋体" w:eastAsia="宋体" w:cs="宋体"/>
                <w:spacing w:val="2"/>
                <w:sz w:val="24"/>
                <w:highlight w:val="none"/>
                <w:lang w:val="zh-CN"/>
              </w:rPr>
              <w:t>2</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hint="eastAsia" w:ascii="宋体" w:hAnsi="宋体" w:eastAsia="宋体" w:cs="宋体"/>
                <w:spacing w:val="2"/>
                <w:sz w:val="24"/>
                <w:highlight w:val="none"/>
                <w:lang w:val="zh-CN"/>
              </w:rPr>
            </w:pPr>
            <w:r>
              <w:rPr>
                <w:rFonts w:hint="eastAsia" w:ascii="宋体" w:hAnsi="宋体" w:eastAsia="宋体" w:cs="宋体"/>
                <w:spacing w:val="2"/>
                <w:sz w:val="24"/>
                <w:highlight w:val="none"/>
                <w:lang w:val="zh-CN"/>
              </w:rPr>
              <w:t>投标保证金: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33"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hint="eastAsia" w:ascii="宋体" w:hAnsi="宋体" w:eastAsia="宋体" w:cs="宋体"/>
                <w:spacing w:val="2"/>
                <w:sz w:val="24"/>
                <w:highlight w:val="none"/>
                <w:lang w:val="zh-CN"/>
              </w:rPr>
            </w:pPr>
            <w:r>
              <w:rPr>
                <w:rFonts w:hint="eastAsia" w:ascii="宋体" w:hAnsi="宋体" w:eastAsia="宋体" w:cs="宋体"/>
                <w:spacing w:val="2"/>
                <w:sz w:val="24"/>
                <w:highlight w:val="none"/>
                <w:lang w:val="zh-CN"/>
              </w:rPr>
              <w:t>3</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hint="eastAsia" w:ascii="宋体" w:hAnsi="宋体" w:eastAsia="宋体" w:cs="宋体"/>
                <w:spacing w:val="2"/>
                <w:sz w:val="24"/>
                <w:highlight w:val="none"/>
                <w:lang w:val="zh-CN"/>
              </w:rPr>
            </w:pPr>
            <w:r>
              <w:rPr>
                <w:rFonts w:hint="eastAsia" w:ascii="宋体" w:hAnsi="宋体" w:eastAsia="宋体" w:cs="宋体"/>
                <w:sz w:val="24"/>
                <w:szCs w:val="24"/>
                <w:highlight w:val="none"/>
              </w:rPr>
              <w:t>现场踏勘：供应商自行踏勘现场。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hint="eastAsia" w:ascii="宋体" w:hAnsi="宋体" w:eastAsia="宋体" w:cs="宋体"/>
                <w:spacing w:val="2"/>
                <w:sz w:val="24"/>
                <w:highlight w:val="none"/>
                <w:lang w:val="zh-CN"/>
              </w:rPr>
            </w:pPr>
            <w:r>
              <w:rPr>
                <w:rFonts w:hint="eastAsia" w:ascii="宋体" w:hAnsi="宋体" w:eastAsia="宋体" w:cs="宋体"/>
                <w:spacing w:val="2"/>
                <w:sz w:val="24"/>
                <w:highlight w:val="none"/>
                <w:lang w:val="zh-CN"/>
              </w:rPr>
              <w:t>4</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hint="eastAsia" w:ascii="宋体" w:hAnsi="宋体" w:eastAsia="宋体" w:cs="宋体"/>
                <w:bCs/>
                <w:spacing w:val="2"/>
                <w:sz w:val="24"/>
                <w:highlight w:val="none"/>
                <w:lang w:val="zh-CN"/>
              </w:rPr>
            </w:pPr>
            <w:r>
              <w:rPr>
                <w:rFonts w:hint="eastAsia" w:ascii="宋体" w:hAnsi="宋体" w:eastAsia="宋体" w:cs="宋体"/>
                <w:spacing w:val="2"/>
                <w:sz w:val="24"/>
                <w:highlight w:val="none"/>
                <w:lang w:val="zh-CN"/>
              </w:rPr>
              <w:t>响应文件份数：</w:t>
            </w:r>
            <w:r>
              <w:rPr>
                <w:rFonts w:hint="eastAsia" w:ascii="宋体" w:hAnsi="宋体" w:eastAsia="宋体" w:cs="宋体"/>
                <w:bCs/>
                <w:spacing w:val="2"/>
                <w:sz w:val="24"/>
                <w:highlight w:val="none"/>
                <w:lang w:val="zh-CN"/>
              </w:rPr>
              <w:t>正本壹份、副本贰份。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39"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hint="eastAsia" w:ascii="宋体" w:hAnsi="宋体" w:eastAsia="宋体" w:cs="宋体"/>
                <w:spacing w:val="2"/>
                <w:sz w:val="24"/>
                <w:highlight w:val="none"/>
                <w:lang w:val="zh-CN"/>
              </w:rPr>
            </w:pPr>
            <w:r>
              <w:rPr>
                <w:rFonts w:hint="eastAsia" w:ascii="宋体" w:hAnsi="宋体" w:eastAsia="宋体" w:cs="宋体"/>
                <w:spacing w:val="2"/>
                <w:sz w:val="24"/>
                <w:highlight w:val="none"/>
                <w:lang w:val="zh-CN"/>
              </w:rPr>
              <w:t>5</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hint="eastAsia" w:ascii="宋体" w:hAnsi="宋体" w:eastAsia="宋体" w:cs="宋体"/>
                <w:color w:val="auto"/>
                <w:spacing w:val="2"/>
                <w:sz w:val="24"/>
                <w:highlight w:val="none"/>
                <w:lang w:val="zh-CN"/>
              </w:rPr>
            </w:pPr>
            <w:r>
              <w:rPr>
                <w:rFonts w:hint="eastAsia" w:ascii="宋体" w:hAnsi="宋体" w:eastAsia="宋体" w:cs="宋体"/>
                <w:color w:val="auto"/>
                <w:spacing w:val="2"/>
                <w:sz w:val="24"/>
                <w:highlight w:val="none"/>
                <w:lang w:val="zh-CN"/>
              </w:rPr>
              <w:t>响应文件接收时间：</w:t>
            </w:r>
            <w:r>
              <w:rPr>
                <w:rFonts w:hint="eastAsia" w:ascii="宋体" w:hAnsi="宋体" w:eastAsia="宋体" w:cs="宋体"/>
                <w:bCs/>
                <w:color w:val="auto"/>
                <w:sz w:val="24"/>
                <w:szCs w:val="24"/>
                <w:highlight w:val="none"/>
                <w:u w:val="single"/>
              </w:rPr>
              <w:t>2023年</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p>
          <w:p>
            <w:pPr>
              <w:snapToGrid w:val="0"/>
              <w:spacing w:line="26" w:lineRule="atLeast"/>
              <w:ind w:firstLine="122" w:firstLineChars="50"/>
              <w:rPr>
                <w:rFonts w:hint="eastAsia" w:ascii="宋体" w:hAnsi="宋体" w:eastAsia="宋体" w:cs="宋体"/>
                <w:color w:val="auto"/>
                <w:spacing w:val="2"/>
                <w:sz w:val="24"/>
                <w:highlight w:val="none"/>
                <w:lang w:val="zh-CN"/>
              </w:rPr>
            </w:pPr>
            <w:r>
              <w:rPr>
                <w:rFonts w:hint="eastAsia" w:ascii="宋体" w:hAnsi="宋体" w:eastAsia="宋体" w:cs="宋体"/>
                <w:color w:val="auto"/>
                <w:spacing w:val="2"/>
                <w:sz w:val="24"/>
                <w:highlight w:val="none"/>
                <w:lang w:val="zh-CN"/>
              </w:rPr>
              <w:t>响应文件提交截止时间：</w:t>
            </w:r>
            <w:r>
              <w:rPr>
                <w:rFonts w:hint="eastAsia" w:ascii="宋体" w:hAnsi="宋体" w:eastAsia="宋体" w:cs="宋体"/>
                <w:bCs/>
                <w:color w:val="auto"/>
                <w:sz w:val="24"/>
                <w:szCs w:val="24"/>
                <w:highlight w:val="none"/>
                <w:u w:val="single"/>
              </w:rPr>
              <w:t>2023年</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分</w:t>
            </w:r>
          </w:p>
          <w:p>
            <w:pPr>
              <w:snapToGrid w:val="0"/>
              <w:spacing w:line="26" w:lineRule="atLeast"/>
              <w:ind w:firstLine="122" w:firstLineChars="50"/>
              <w:rPr>
                <w:rFonts w:hint="eastAsia" w:ascii="宋体" w:hAnsi="宋体" w:eastAsia="宋体" w:cs="宋体"/>
                <w:color w:val="auto"/>
                <w:sz w:val="24"/>
                <w:highlight w:val="none"/>
                <w:lang w:val="zh-CN"/>
              </w:rPr>
            </w:pPr>
            <w:r>
              <w:rPr>
                <w:rFonts w:hint="eastAsia" w:ascii="宋体" w:hAnsi="宋体" w:eastAsia="宋体" w:cs="宋体"/>
                <w:color w:val="auto"/>
                <w:spacing w:val="2"/>
                <w:sz w:val="24"/>
                <w:highlight w:val="none"/>
                <w:lang w:val="zh-CN"/>
              </w:rPr>
              <w:t>响应文件提交地点：</w:t>
            </w:r>
            <w:r>
              <w:rPr>
                <w:rFonts w:hint="eastAsia" w:ascii="宋体" w:hAnsi="宋体" w:eastAsia="宋体" w:cs="宋体"/>
                <w:bCs/>
                <w:color w:val="auto"/>
                <w:sz w:val="24"/>
                <w:szCs w:val="24"/>
                <w:highlight w:val="none"/>
              </w:rPr>
              <w:t>钟楼区玉龙南路280号常州大数据产业园2号楼19楼常州市市场资源交易服务中心（平台）1905 开标室1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17"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hint="eastAsia" w:ascii="宋体" w:hAnsi="宋体" w:eastAsia="宋体" w:cs="宋体"/>
                <w:spacing w:val="2"/>
                <w:sz w:val="24"/>
                <w:highlight w:val="none"/>
                <w:lang w:val="zh-CN"/>
              </w:rPr>
            </w:pPr>
            <w:r>
              <w:rPr>
                <w:rFonts w:hint="eastAsia" w:ascii="宋体" w:hAnsi="宋体" w:eastAsia="宋体" w:cs="宋体"/>
                <w:spacing w:val="2"/>
                <w:sz w:val="24"/>
                <w:highlight w:val="none"/>
                <w:lang w:val="zh-CN"/>
              </w:rPr>
              <w:t>6</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hint="eastAsia" w:ascii="宋体" w:hAnsi="宋体" w:eastAsia="宋体" w:cs="宋体"/>
                <w:color w:val="auto"/>
                <w:spacing w:val="2"/>
                <w:sz w:val="24"/>
                <w:highlight w:val="none"/>
                <w:lang w:val="zh-CN"/>
              </w:rPr>
            </w:pPr>
            <w:r>
              <w:rPr>
                <w:rFonts w:hint="eastAsia" w:ascii="宋体" w:hAnsi="宋体" w:eastAsia="宋体" w:cs="宋体"/>
                <w:color w:val="auto"/>
                <w:spacing w:val="2"/>
                <w:sz w:val="24"/>
                <w:highlight w:val="none"/>
                <w:lang w:val="zh-CN"/>
              </w:rPr>
              <w:t>开标时间：</w:t>
            </w:r>
            <w:r>
              <w:rPr>
                <w:rFonts w:hint="eastAsia" w:ascii="宋体" w:hAnsi="宋体" w:eastAsia="宋体" w:cs="宋体"/>
                <w:bCs/>
                <w:color w:val="auto"/>
                <w:sz w:val="24"/>
                <w:szCs w:val="24"/>
                <w:highlight w:val="none"/>
                <w:u w:val="single"/>
              </w:rPr>
              <w:t>2023年</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分</w:t>
            </w:r>
          </w:p>
          <w:p>
            <w:pPr>
              <w:snapToGrid w:val="0"/>
              <w:spacing w:line="26" w:lineRule="atLeast"/>
              <w:ind w:firstLine="122" w:firstLineChars="5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zh-CN"/>
              </w:rPr>
              <w:t>地　　点：</w:t>
            </w:r>
            <w:r>
              <w:rPr>
                <w:rFonts w:hint="eastAsia" w:ascii="宋体" w:hAnsi="宋体" w:eastAsia="宋体" w:cs="宋体"/>
                <w:bCs/>
                <w:color w:val="auto"/>
                <w:sz w:val="24"/>
                <w:szCs w:val="24"/>
                <w:highlight w:val="none"/>
              </w:rPr>
              <w:t>钟楼区玉龙南路280号常州大数据产业园2号楼19楼常州市市场资源交易服务中心（平台）1905 开标室1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bottom"/>
          </w:tcPr>
          <w:p>
            <w:pPr>
              <w:snapToGrid w:val="0"/>
              <w:spacing w:line="26" w:lineRule="atLeast"/>
              <w:jc w:val="center"/>
              <w:rPr>
                <w:rFonts w:hint="eastAsia" w:ascii="宋体" w:hAnsi="宋体" w:eastAsia="宋体" w:cs="宋体"/>
                <w:spacing w:val="2"/>
                <w:sz w:val="24"/>
                <w:highlight w:val="none"/>
                <w:lang w:val="zh-CN"/>
              </w:rPr>
            </w:pPr>
            <w:r>
              <w:rPr>
                <w:rFonts w:hint="eastAsia" w:ascii="宋体" w:hAnsi="宋体" w:eastAsia="宋体" w:cs="宋体"/>
                <w:spacing w:val="2"/>
                <w:sz w:val="24"/>
                <w:highlight w:val="none"/>
                <w:lang w:val="zh-CN"/>
              </w:rPr>
              <w:t>7</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hint="eastAsia" w:ascii="宋体" w:hAnsi="宋体" w:eastAsia="宋体" w:cs="宋体"/>
                <w:spacing w:val="2"/>
                <w:sz w:val="24"/>
                <w:highlight w:val="none"/>
              </w:rPr>
            </w:pPr>
            <w:r>
              <w:rPr>
                <w:rFonts w:hint="eastAsia" w:ascii="宋体" w:hAnsi="宋体" w:eastAsia="宋体" w:cs="宋体"/>
                <w:spacing w:val="2"/>
                <w:sz w:val="24"/>
                <w:highlight w:val="none"/>
              </w:rPr>
              <w:t xml:space="preserve"> </w:t>
            </w:r>
            <w:r>
              <w:rPr>
                <w:rFonts w:hint="eastAsia" w:ascii="宋体" w:hAnsi="宋体" w:eastAsia="宋体" w:cs="宋体"/>
                <w:spacing w:val="2"/>
                <w:sz w:val="24"/>
                <w:highlight w:val="none"/>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hint="eastAsia" w:ascii="宋体" w:hAnsi="宋体" w:eastAsia="宋体" w:cs="宋体"/>
                <w:spacing w:val="2"/>
                <w:sz w:val="24"/>
                <w:highlight w:val="none"/>
                <w:lang w:val="zh-CN"/>
              </w:rPr>
            </w:pPr>
            <w:r>
              <w:rPr>
                <w:rFonts w:hint="eastAsia" w:ascii="宋体" w:hAnsi="宋体" w:eastAsia="宋体" w:cs="宋体"/>
                <w:spacing w:val="2"/>
                <w:sz w:val="24"/>
                <w:highlight w:val="none"/>
                <w:lang w:val="zh-CN"/>
              </w:rPr>
              <w:t>8</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hint="eastAsia" w:ascii="宋体" w:hAnsi="宋体" w:eastAsia="宋体" w:cs="宋体"/>
                <w:b/>
                <w:bCs/>
                <w:sz w:val="24"/>
                <w:highlight w:val="none"/>
              </w:rPr>
            </w:pPr>
            <w:r>
              <w:rPr>
                <w:rFonts w:hint="eastAsia" w:ascii="宋体" w:hAnsi="宋体" w:eastAsia="宋体" w:cs="宋体"/>
                <w:spacing w:val="2"/>
                <w:sz w:val="24"/>
                <w:highlight w:val="none"/>
              </w:rPr>
              <w:t xml:space="preserve"> </w:t>
            </w:r>
            <w:r>
              <w:rPr>
                <w:rFonts w:hint="eastAsia" w:ascii="宋体" w:hAnsi="宋体" w:eastAsia="宋体" w:cs="宋体"/>
                <w:spacing w:val="2"/>
                <w:sz w:val="24"/>
                <w:highlight w:val="none"/>
                <w:lang w:val="zh-CN"/>
              </w:rPr>
              <w:t>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hint="eastAsia" w:ascii="宋体" w:hAnsi="宋体" w:eastAsia="宋体" w:cs="宋体"/>
                <w:spacing w:val="2"/>
                <w:sz w:val="24"/>
                <w:highlight w:val="none"/>
                <w:lang w:val="zh-CN"/>
              </w:rPr>
            </w:pPr>
            <w:r>
              <w:rPr>
                <w:rFonts w:hint="eastAsia" w:ascii="宋体" w:hAnsi="宋体" w:eastAsia="宋体" w:cs="宋体"/>
                <w:spacing w:val="2"/>
                <w:sz w:val="24"/>
                <w:highlight w:val="none"/>
                <w:lang w:val="zh-CN"/>
              </w:rPr>
              <w:t>9</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hint="eastAsia" w:ascii="宋体" w:hAnsi="宋体" w:eastAsia="宋体" w:cs="宋体"/>
                <w:spacing w:val="2"/>
                <w:sz w:val="24"/>
                <w:highlight w:val="none"/>
              </w:rPr>
            </w:pPr>
            <w:r>
              <w:rPr>
                <w:rFonts w:hint="eastAsia" w:ascii="宋体" w:hAnsi="宋体" w:eastAsia="宋体" w:cs="宋体"/>
                <w:spacing w:val="2"/>
                <w:sz w:val="24"/>
                <w:highlight w:val="none"/>
              </w:rPr>
              <w:t>投标有效期：</w:t>
            </w:r>
            <w:r>
              <w:rPr>
                <w:rFonts w:hint="eastAsia" w:ascii="宋体" w:hAnsi="宋体" w:eastAsia="宋体" w:cs="宋体"/>
                <w:sz w:val="24"/>
                <w:highlight w:val="none"/>
                <w:shd w:val="clear" w:color="auto" w:fill="FFFFFF"/>
              </w:rPr>
              <w:t>从提交投标文件的截止之日起</w:t>
            </w:r>
            <w:r>
              <w:rPr>
                <w:rFonts w:hint="eastAsia" w:ascii="宋体" w:hAnsi="宋体" w:eastAsia="宋体" w:cs="宋体"/>
                <w:sz w:val="24"/>
                <w:highlight w:val="none"/>
                <w:u w:val="single"/>
                <w:shd w:val="clear" w:color="auto" w:fill="FFFFFF"/>
              </w:rPr>
              <w:t>60</w:t>
            </w:r>
            <w:r>
              <w:rPr>
                <w:rFonts w:hint="eastAsia" w:ascii="宋体" w:hAnsi="宋体" w:eastAsia="宋体" w:cs="宋体"/>
                <w:sz w:val="24"/>
                <w:highlight w:val="none"/>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35"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hint="eastAsia" w:ascii="宋体" w:hAnsi="宋体" w:eastAsia="宋体" w:cs="宋体"/>
                <w:spacing w:val="2"/>
                <w:sz w:val="24"/>
                <w:highlight w:val="none"/>
                <w:lang w:val="zh-CN"/>
              </w:rPr>
            </w:pPr>
            <w:r>
              <w:rPr>
                <w:rFonts w:hint="eastAsia" w:ascii="宋体" w:hAnsi="宋体" w:eastAsia="宋体" w:cs="宋体"/>
                <w:spacing w:val="2"/>
                <w:sz w:val="24"/>
                <w:highlight w:val="none"/>
                <w:lang w:val="zh-CN"/>
              </w:rPr>
              <w:t>10</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hint="eastAsia" w:ascii="宋体" w:hAnsi="宋体" w:eastAsia="宋体" w:cs="宋体"/>
                <w:spacing w:val="2"/>
                <w:sz w:val="24"/>
                <w:highlight w:val="none"/>
                <w:lang w:val="zh-CN"/>
              </w:rPr>
            </w:pPr>
            <w:r>
              <w:rPr>
                <w:rFonts w:hint="eastAsia" w:ascii="宋体" w:hAnsi="宋体" w:eastAsia="宋体" w:cs="宋体"/>
                <w:spacing w:val="2"/>
                <w:sz w:val="24"/>
                <w:highlight w:val="none"/>
                <w:lang w:val="zh-CN"/>
              </w:rPr>
              <w:t>供应商信用信息查询渠道:</w:t>
            </w:r>
          </w:p>
          <w:p>
            <w:pPr>
              <w:snapToGrid w:val="0"/>
              <w:spacing w:line="26" w:lineRule="atLeast"/>
              <w:ind w:firstLine="122" w:firstLineChars="50"/>
              <w:rPr>
                <w:rFonts w:hint="eastAsia" w:ascii="宋体" w:hAnsi="宋体" w:eastAsia="宋体" w:cs="宋体"/>
                <w:spacing w:val="2"/>
                <w:sz w:val="24"/>
                <w:highlight w:val="none"/>
                <w:lang w:val="zh-CN"/>
              </w:rPr>
            </w:pPr>
            <w:r>
              <w:rPr>
                <w:rFonts w:hint="eastAsia" w:ascii="宋体" w:hAnsi="宋体" w:eastAsia="宋体" w:cs="宋体"/>
                <w:spacing w:val="2"/>
                <w:sz w:val="24"/>
                <w:highlight w:val="none"/>
                <w:lang w:val="zh-CN"/>
              </w:rPr>
              <w:t>信用中国网站（www.creditchina.gov.cn）、中国政府采购网（www.ccgp.gov.cn）</w:t>
            </w:r>
          </w:p>
          <w:p>
            <w:pPr>
              <w:snapToGrid w:val="0"/>
              <w:spacing w:line="26" w:lineRule="atLeast"/>
              <w:ind w:firstLine="122" w:firstLineChars="50"/>
              <w:rPr>
                <w:rFonts w:hint="eastAsia" w:ascii="宋体" w:hAnsi="宋体" w:eastAsia="宋体" w:cs="宋体"/>
                <w:spacing w:val="2"/>
                <w:sz w:val="24"/>
                <w:highlight w:val="none"/>
                <w:lang w:val="zh-CN"/>
              </w:rPr>
            </w:pPr>
            <w:r>
              <w:rPr>
                <w:rFonts w:hint="eastAsia" w:ascii="宋体" w:hAnsi="宋体" w:eastAsia="宋体" w:cs="宋体"/>
                <w:spacing w:val="2"/>
                <w:sz w:val="24"/>
                <w:highlight w:val="none"/>
                <w:lang w:val="zh-CN"/>
              </w:rPr>
              <w:t>查询截止时点:投标文件提交截止时间</w:t>
            </w:r>
          </w:p>
          <w:p>
            <w:pPr>
              <w:snapToGrid w:val="0"/>
              <w:spacing w:line="26" w:lineRule="atLeast"/>
              <w:ind w:firstLine="122" w:firstLineChars="50"/>
              <w:rPr>
                <w:rFonts w:hint="eastAsia" w:ascii="宋体" w:hAnsi="宋体" w:eastAsia="宋体" w:cs="宋体"/>
                <w:spacing w:val="2"/>
                <w:sz w:val="24"/>
                <w:highlight w:val="none"/>
                <w:lang w:val="zh-CN"/>
              </w:rPr>
            </w:pPr>
            <w:r>
              <w:rPr>
                <w:rFonts w:hint="eastAsia" w:ascii="宋体" w:hAnsi="宋体" w:eastAsia="宋体" w:cs="宋体"/>
                <w:spacing w:val="2"/>
                <w:sz w:val="24"/>
                <w:highlight w:val="none"/>
                <w:lang w:val="zh-CN"/>
              </w:rPr>
              <w:t>查询结果将以网页打印的形式留存并归档。</w:t>
            </w:r>
          </w:p>
        </w:tc>
      </w:tr>
    </w:tbl>
    <w:p>
      <w:pPr>
        <w:rPr>
          <w:rFonts w:hint="eastAsia" w:ascii="宋体" w:hAnsi="宋体" w:eastAsia="宋体" w:cs="宋体"/>
          <w:bCs/>
          <w:color w:val="000000" w:themeColor="text1"/>
          <w:sz w:val="30"/>
          <w:szCs w:val="30"/>
          <w:highlight w:val="none"/>
        </w:rPr>
      </w:pPr>
    </w:p>
    <w:p>
      <w:pPr>
        <w:rPr>
          <w:rFonts w:hint="eastAsia" w:ascii="宋体" w:hAnsi="宋体" w:eastAsia="宋体" w:cs="宋体"/>
          <w:bCs/>
          <w:color w:val="000000" w:themeColor="text1"/>
          <w:sz w:val="30"/>
          <w:szCs w:val="30"/>
          <w:highlight w:val="none"/>
        </w:rPr>
      </w:pPr>
    </w:p>
    <w:p>
      <w:pPr>
        <w:rPr>
          <w:rFonts w:hint="eastAsia" w:ascii="宋体" w:hAnsi="宋体" w:eastAsia="宋体" w:cs="宋体"/>
          <w:bCs/>
          <w:color w:val="000000" w:themeColor="text1"/>
          <w:sz w:val="30"/>
          <w:szCs w:val="30"/>
          <w:highlight w:val="none"/>
        </w:rPr>
      </w:pPr>
    </w:p>
    <w:p>
      <w:pPr>
        <w:rPr>
          <w:rFonts w:hint="eastAsia" w:ascii="宋体" w:hAnsi="宋体" w:eastAsia="宋体" w:cs="宋体"/>
          <w:bCs/>
          <w:color w:val="000000" w:themeColor="text1"/>
          <w:sz w:val="30"/>
          <w:szCs w:val="30"/>
          <w:highlight w:val="none"/>
        </w:rPr>
      </w:pPr>
    </w:p>
    <w:sdt>
      <w:sdtPr>
        <w:rPr>
          <w:rFonts w:hint="eastAsia" w:ascii="宋体" w:hAnsi="宋体" w:eastAsia="宋体" w:cs="宋体"/>
          <w:b w:val="0"/>
          <w:bCs w:val="0"/>
          <w:color w:val="auto"/>
          <w:kern w:val="2"/>
          <w:sz w:val="21"/>
          <w:szCs w:val="22"/>
          <w:highlight w:val="none"/>
          <w:lang w:val="zh-CN"/>
        </w:rPr>
        <w:id w:val="-1880626030"/>
        <w:docPartObj>
          <w:docPartGallery w:val="Table of Contents"/>
          <w:docPartUnique/>
        </w:docPartObj>
      </w:sdtPr>
      <w:sdtEndPr>
        <w:rPr>
          <w:rFonts w:hint="eastAsia" w:ascii="宋体" w:hAnsi="宋体" w:eastAsia="宋体" w:cs="宋体"/>
          <w:b w:val="0"/>
          <w:bCs w:val="0"/>
          <w:color w:val="auto"/>
          <w:kern w:val="2"/>
          <w:sz w:val="30"/>
          <w:szCs w:val="30"/>
          <w:highlight w:val="none"/>
          <w:lang w:val="en-US"/>
        </w:rPr>
      </w:sdtEndPr>
      <w:sdtContent>
        <w:p>
          <w:pPr>
            <w:pStyle w:val="116"/>
            <w:jc w:val="center"/>
            <w:rPr>
              <w:rFonts w:hint="eastAsia" w:ascii="宋体" w:hAnsi="宋体" w:eastAsia="宋体" w:cs="宋体"/>
              <w:color w:val="000000" w:themeColor="text1"/>
              <w:sz w:val="48"/>
              <w:szCs w:val="48"/>
              <w:highlight w:val="none"/>
              <w:lang w:val="zh-CN"/>
            </w:rPr>
          </w:pPr>
          <w:r>
            <w:rPr>
              <w:rFonts w:hint="eastAsia" w:ascii="宋体" w:hAnsi="宋体" w:eastAsia="宋体" w:cs="宋体"/>
              <w:color w:val="000000" w:themeColor="text1"/>
              <w:sz w:val="48"/>
              <w:szCs w:val="48"/>
              <w:highlight w:val="none"/>
              <w:lang w:val="zh-CN"/>
            </w:rPr>
            <w:t>目 录</w:t>
          </w:r>
        </w:p>
        <w:p>
          <w:pPr>
            <w:pStyle w:val="22"/>
            <w:rPr>
              <w:rFonts w:hint="eastAsia" w:ascii="宋体" w:hAnsi="宋体" w:eastAsia="宋体" w:cs="宋体"/>
              <w:sz w:val="21"/>
              <w:szCs w:val="2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TOC \o "1-3" \h \z \u</w:instrText>
          </w:r>
          <w:r>
            <w:rPr>
              <w:rFonts w:hint="eastAsia" w:ascii="宋体" w:hAnsi="宋体" w:eastAsia="宋体" w:cs="宋体"/>
              <w:sz w:val="32"/>
              <w:szCs w:val="32"/>
              <w:highlight w:val="none"/>
            </w:rPr>
            <w:fldChar w:fldCharType="separate"/>
          </w:r>
        </w:p>
        <w:p>
          <w:pPr>
            <w:pStyle w:val="22"/>
            <w:rPr>
              <w:rFonts w:hint="eastAsia" w:ascii="宋体" w:hAnsi="宋体" w:eastAsia="宋体" w:cs="宋体"/>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"_Toc92976615" </w:instrText>
          </w:r>
          <w:r>
            <w:rPr>
              <w:rFonts w:hint="eastAsia" w:ascii="宋体" w:hAnsi="宋体" w:eastAsia="宋体" w:cs="宋体"/>
              <w:highlight w:val="none"/>
            </w:rPr>
            <w:fldChar w:fldCharType="separate"/>
          </w:r>
          <w:r>
            <w:rPr>
              <w:rStyle w:val="38"/>
              <w:rFonts w:hint="eastAsia" w:ascii="宋体" w:hAnsi="宋体" w:eastAsia="宋体" w:cs="宋体"/>
              <w:highlight w:val="none"/>
            </w:rPr>
            <w:t>一．磋商邀请函</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_Toc92976615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2"/>
            <w:rPr>
              <w:rFonts w:hint="eastAsia" w:ascii="宋体" w:hAnsi="宋体" w:eastAsia="宋体" w:cs="宋体"/>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"_Toc92976616" </w:instrText>
          </w:r>
          <w:r>
            <w:rPr>
              <w:rFonts w:hint="eastAsia" w:ascii="宋体" w:hAnsi="宋体" w:eastAsia="宋体" w:cs="宋体"/>
              <w:highlight w:val="none"/>
            </w:rPr>
            <w:fldChar w:fldCharType="separate"/>
          </w:r>
          <w:r>
            <w:rPr>
              <w:rStyle w:val="38"/>
              <w:rFonts w:hint="eastAsia" w:ascii="宋体" w:hAnsi="宋体" w:eastAsia="宋体" w:cs="宋体"/>
              <w:highlight w:val="none"/>
            </w:rPr>
            <w:t>二．供应商须知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_Toc92976616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2"/>
            <w:rPr>
              <w:rFonts w:hint="eastAsia" w:ascii="宋体" w:hAnsi="宋体" w:eastAsia="宋体" w:cs="宋体"/>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"_Toc92976617" </w:instrText>
          </w:r>
          <w:r>
            <w:rPr>
              <w:rFonts w:hint="eastAsia" w:ascii="宋体" w:hAnsi="宋体" w:eastAsia="宋体" w:cs="宋体"/>
              <w:highlight w:val="none"/>
            </w:rPr>
            <w:fldChar w:fldCharType="separate"/>
          </w:r>
          <w:r>
            <w:rPr>
              <w:rStyle w:val="38"/>
              <w:rFonts w:hint="eastAsia" w:ascii="宋体" w:hAnsi="宋体" w:eastAsia="宋体" w:cs="宋体"/>
              <w:highlight w:val="none"/>
            </w:rPr>
            <w:t>三．项目技术要求和有关说明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_Toc92976617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2"/>
            <w:rPr>
              <w:rFonts w:hint="eastAsia" w:ascii="宋体" w:hAnsi="宋体" w:eastAsia="宋体" w:cs="宋体"/>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"_Toc92976618" </w:instrText>
          </w:r>
          <w:r>
            <w:rPr>
              <w:rFonts w:hint="eastAsia" w:ascii="宋体" w:hAnsi="宋体" w:eastAsia="宋体" w:cs="宋体"/>
              <w:highlight w:val="none"/>
            </w:rPr>
            <w:fldChar w:fldCharType="separate"/>
          </w:r>
          <w:r>
            <w:rPr>
              <w:rStyle w:val="38"/>
              <w:rFonts w:hint="eastAsia" w:ascii="宋体" w:hAnsi="宋体" w:eastAsia="宋体" w:cs="宋体"/>
              <w:bCs/>
              <w:kern w:val="0"/>
              <w:highlight w:val="none"/>
            </w:rPr>
            <w:t>四．合同条款及格式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_Toc92976618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2"/>
            <w:rPr>
              <w:rFonts w:hint="eastAsia" w:ascii="宋体" w:hAnsi="宋体" w:eastAsia="宋体" w:cs="宋体"/>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"_Toc92976622" </w:instrText>
          </w:r>
          <w:r>
            <w:rPr>
              <w:rFonts w:hint="eastAsia" w:ascii="宋体" w:hAnsi="宋体" w:eastAsia="宋体" w:cs="宋体"/>
              <w:highlight w:val="none"/>
            </w:rPr>
            <w:fldChar w:fldCharType="separate"/>
          </w:r>
          <w:r>
            <w:rPr>
              <w:rStyle w:val="38"/>
              <w:rFonts w:hint="eastAsia" w:ascii="宋体" w:hAnsi="宋体" w:eastAsia="宋体" w:cs="宋体"/>
              <w:highlight w:val="none"/>
            </w:rPr>
            <w:t>五.评分标准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_Toc92976622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2"/>
            <w:rPr>
              <w:rFonts w:hint="eastAsia" w:ascii="宋体" w:hAnsi="宋体" w:eastAsia="宋体" w:cs="宋体"/>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"_Toc92976623" </w:instrText>
          </w:r>
          <w:r>
            <w:rPr>
              <w:rFonts w:hint="eastAsia" w:ascii="宋体" w:hAnsi="宋体" w:eastAsia="宋体" w:cs="宋体"/>
              <w:highlight w:val="none"/>
            </w:rPr>
            <w:fldChar w:fldCharType="separate"/>
          </w:r>
          <w:r>
            <w:rPr>
              <w:rStyle w:val="38"/>
              <w:rFonts w:hint="eastAsia" w:ascii="宋体" w:hAnsi="宋体" w:eastAsia="宋体" w:cs="宋体"/>
              <w:bCs/>
              <w:kern w:val="0"/>
              <w:highlight w:val="none"/>
            </w:rPr>
            <w:t>六．响应文件格式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_Toc92976623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2"/>
            <w:rPr>
              <w:rFonts w:hint="eastAsia" w:ascii="宋体" w:hAnsi="宋体" w:eastAsia="宋体" w:cs="宋体"/>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"_Toc92976624" </w:instrText>
          </w:r>
          <w:r>
            <w:rPr>
              <w:rFonts w:hint="eastAsia" w:ascii="宋体" w:hAnsi="宋体" w:eastAsia="宋体" w:cs="宋体"/>
              <w:highlight w:val="none"/>
            </w:rPr>
            <w:fldChar w:fldCharType="separate"/>
          </w:r>
          <w:r>
            <w:rPr>
              <w:rStyle w:val="38"/>
              <w:rFonts w:hint="eastAsia" w:ascii="宋体" w:hAnsi="宋体" w:eastAsia="宋体" w:cs="宋体"/>
              <w:bCs/>
              <w:kern w:val="0"/>
              <w:highlight w:val="none"/>
            </w:rPr>
            <w:t>友 情 提 醒</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_Toc92976624 \h </w:instrText>
          </w:r>
          <w:r>
            <w:rPr>
              <w:rFonts w:hint="eastAsia" w:ascii="宋体" w:hAnsi="宋体" w:eastAsia="宋体" w:cs="宋体"/>
              <w:highlight w:val="none"/>
            </w:rPr>
            <w:fldChar w:fldCharType="separate"/>
          </w:r>
          <w:r>
            <w:rPr>
              <w:rFonts w:hint="eastAsia" w:ascii="宋体" w:hAnsi="宋体" w:eastAsia="宋体" w:cs="宋体"/>
              <w:highlight w:val="none"/>
            </w:rPr>
            <w:t>38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spacing w:before="120" w:after="120" w:line="360" w:lineRule="auto"/>
            <w:rPr>
              <w:rFonts w:hint="eastAsia" w:ascii="宋体" w:hAnsi="宋体" w:eastAsia="宋体" w:cs="宋体"/>
              <w:sz w:val="30"/>
              <w:szCs w:val="30"/>
              <w:highlight w:val="none"/>
            </w:rPr>
            <w:sectPr>
              <w:headerReference r:id="rId5" w:type="first"/>
              <w:headerReference r:id="rId3" w:type="default"/>
              <w:footerReference r:id="rId6" w:type="default"/>
              <w:headerReference r:id="rId4" w:type="even"/>
              <w:footerReference r:id="rId7" w:type="even"/>
              <w:pgSz w:w="11906" w:h="16838"/>
              <w:pgMar w:top="1276" w:right="1133" w:bottom="1418" w:left="1134" w:header="568" w:footer="907" w:gutter="0"/>
              <w:pgNumType w:start="0"/>
              <w:cols w:space="425" w:num="1"/>
              <w:titlePg/>
              <w:docGrid w:type="linesAndChars" w:linePitch="312" w:charSpace="0"/>
            </w:sectPr>
          </w:pPr>
          <w:r>
            <w:rPr>
              <w:rFonts w:hint="eastAsia" w:ascii="宋体" w:hAnsi="宋体" w:eastAsia="宋体" w:cs="宋体"/>
              <w:sz w:val="32"/>
              <w:szCs w:val="32"/>
              <w:highlight w:val="none"/>
            </w:rPr>
            <w:fldChar w:fldCharType="end"/>
          </w:r>
        </w:p>
      </w:sdtContent>
    </w:sdt>
    <w:p>
      <w:pPr>
        <w:pStyle w:val="121"/>
        <w:rPr>
          <w:rFonts w:hint="eastAsia" w:ascii="宋体" w:hAnsi="宋体" w:eastAsia="宋体" w:cs="宋体"/>
          <w:highlight w:val="none"/>
        </w:rPr>
      </w:pPr>
      <w:bookmarkStart w:id="4" w:name="_Toc92976615"/>
      <w:r>
        <w:rPr>
          <w:rFonts w:hint="eastAsia" w:ascii="宋体" w:hAnsi="宋体" w:eastAsia="宋体" w:cs="宋体"/>
          <w:highlight w:val="none"/>
        </w:rPr>
        <w:t>一．磋商邀请函</w:t>
      </w:r>
      <w:bookmarkEnd w:id="1"/>
      <w:bookmarkEnd w:id="4"/>
    </w:p>
    <w:p>
      <w:pPr>
        <w:pBdr>
          <w:top w:val="single" w:color="auto" w:sz="4" w:space="1"/>
          <w:left w:val="single" w:color="auto" w:sz="4" w:space="4"/>
          <w:bottom w:val="single" w:color="auto" w:sz="4" w:space="1"/>
          <w:right w:val="single" w:color="auto" w:sz="4" w:space="4"/>
        </w:pBdr>
        <w:kinsoku w:val="0"/>
        <w:overflowPunct w:val="0"/>
        <w:autoSpaceDE w:val="0"/>
        <w:autoSpaceDN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pPr>
        <w:pBdr>
          <w:top w:val="single" w:color="auto" w:sz="4" w:space="1"/>
          <w:left w:val="single" w:color="auto" w:sz="4" w:space="4"/>
          <w:bottom w:val="single" w:color="auto" w:sz="4" w:space="1"/>
          <w:right w:val="single" w:color="auto" w:sz="4" w:space="4"/>
        </w:pBdr>
        <w:kinsoku w:val="0"/>
        <w:overflowPunct w:val="0"/>
        <w:autoSpaceDE w:val="0"/>
        <w:autoSpaceDN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常州市普通国省道、县道公路交通情况调查站点布局方案研究项目</w:t>
      </w:r>
      <w:r>
        <w:rPr>
          <w:rFonts w:hint="eastAsia" w:ascii="宋体" w:hAnsi="宋体" w:eastAsia="宋体" w:cs="宋体"/>
          <w:sz w:val="24"/>
          <w:szCs w:val="24"/>
          <w:highlight w:val="none"/>
        </w:rPr>
        <w:t>的潜在供应商应在</w:t>
      </w:r>
      <w:r>
        <w:rPr>
          <w:rFonts w:hint="eastAsia" w:ascii="宋体" w:hAnsi="宋体" w:eastAsia="宋体" w:cs="宋体"/>
          <w:sz w:val="24"/>
          <w:szCs w:val="24"/>
          <w:highlight w:val="none"/>
          <w:u w:val="single"/>
        </w:rPr>
        <w:t>江苏仁禾中衡工程咨询房地产估价有限公司网（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"http://www.jsrhzh.com/info.asp?id=1）获取采购文件，并于2023年" </w:instrText>
      </w:r>
      <w:r>
        <w:rPr>
          <w:rFonts w:hint="eastAsia" w:ascii="宋体" w:hAnsi="宋体" w:eastAsia="宋体" w:cs="宋体"/>
          <w:highlight w:val="none"/>
        </w:rPr>
        <w:fldChar w:fldCharType="separate"/>
      </w:r>
      <w:r>
        <w:rPr>
          <w:rStyle w:val="38"/>
          <w:rFonts w:hint="eastAsia" w:ascii="宋体" w:hAnsi="宋体" w:eastAsia="宋体" w:cs="宋体"/>
          <w:sz w:val="24"/>
          <w:szCs w:val="24"/>
          <w:highlight w:val="none"/>
          <w:u w:val="single"/>
        </w:rPr>
        <w:t>http://www.jsrhzh.com/info.asp?id=1）获取采购文件，并于</w:t>
      </w:r>
      <w:r>
        <w:rPr>
          <w:rStyle w:val="38"/>
          <w:rFonts w:hint="eastAsia" w:ascii="宋体" w:hAnsi="宋体" w:eastAsia="宋体" w:cs="宋体"/>
          <w:bCs/>
          <w:sz w:val="24"/>
          <w:szCs w:val="24"/>
          <w:highlight w:val="none"/>
          <w:u w:val="single"/>
        </w:rPr>
        <w:t>2023年</w:t>
      </w:r>
      <w:r>
        <w:rPr>
          <w:rStyle w:val="38"/>
          <w:rFonts w:hint="eastAsia" w:ascii="宋体" w:hAnsi="宋体" w:eastAsia="宋体" w:cs="宋体"/>
          <w:bCs/>
          <w:sz w:val="24"/>
          <w:szCs w:val="24"/>
          <w:highlight w:val="none"/>
          <w:u w:val="single"/>
        </w:rPr>
        <w:fldChar w:fldCharType="end"/>
      </w:r>
      <w:r>
        <w:rPr>
          <w:rStyle w:val="38"/>
          <w:rFonts w:hint="eastAsia" w:ascii="宋体" w:hAnsi="宋体" w:eastAsia="宋体" w:cs="宋体"/>
          <w:bCs/>
          <w:sz w:val="24"/>
          <w:szCs w:val="24"/>
          <w:highlight w:val="none"/>
          <w:u w:val="single"/>
          <w:lang w:val="en-US" w:eastAsia="zh-CN"/>
        </w:rPr>
        <w:t>2</w:t>
      </w:r>
      <w:r>
        <w:rPr>
          <w:rFonts w:hint="eastAsia" w:ascii="宋体" w:hAnsi="宋体" w:eastAsia="宋体" w:cs="宋体"/>
          <w:bCs/>
          <w:sz w:val="24"/>
          <w:szCs w:val="24"/>
          <w:highlight w:val="none"/>
          <w:u w:val="single"/>
        </w:rPr>
        <w:t>月</w:t>
      </w:r>
      <w:r>
        <w:rPr>
          <w:rFonts w:hint="eastAsia" w:ascii="宋体" w:hAnsi="宋体" w:eastAsia="宋体" w:cs="宋体"/>
          <w:bCs/>
          <w:sz w:val="24"/>
          <w:szCs w:val="24"/>
          <w:highlight w:val="none"/>
          <w:u w:val="single"/>
          <w:lang w:val="en-US" w:eastAsia="zh-CN"/>
        </w:rPr>
        <w:t>3</w:t>
      </w:r>
      <w:r>
        <w:rPr>
          <w:rFonts w:hint="eastAsia" w:ascii="宋体" w:hAnsi="宋体" w:eastAsia="宋体" w:cs="宋体"/>
          <w:bCs/>
          <w:sz w:val="24"/>
          <w:szCs w:val="24"/>
          <w:highlight w:val="none"/>
          <w:u w:val="single"/>
        </w:rPr>
        <w:t>日</w:t>
      </w:r>
      <w:r>
        <w:rPr>
          <w:rFonts w:hint="eastAsia" w:ascii="宋体" w:hAnsi="宋体" w:eastAsia="宋体" w:cs="宋体"/>
          <w:bCs/>
          <w:sz w:val="24"/>
          <w:szCs w:val="24"/>
          <w:highlight w:val="none"/>
          <w:u w:val="single"/>
          <w:lang w:val="en-US" w:eastAsia="zh-CN"/>
        </w:rPr>
        <w:t>9</w:t>
      </w:r>
      <w:r>
        <w:rPr>
          <w:rFonts w:hint="eastAsia" w:ascii="宋体" w:hAnsi="宋体" w:eastAsia="宋体" w:cs="宋体"/>
          <w:bCs/>
          <w:sz w:val="24"/>
          <w:szCs w:val="24"/>
          <w:highlight w:val="none"/>
          <w:u w:val="singl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single"/>
        </w:rPr>
        <w:t>分（</w:t>
      </w:r>
      <w:r>
        <w:rPr>
          <w:rFonts w:hint="eastAsia" w:ascii="宋体" w:hAnsi="宋体" w:eastAsia="宋体" w:cs="宋体"/>
          <w:bCs/>
          <w:sz w:val="24"/>
          <w:szCs w:val="24"/>
          <w:highlight w:val="none"/>
        </w:rPr>
        <w:t>北京时间）前提交响应文件</w:t>
      </w:r>
      <w:r>
        <w:rPr>
          <w:rFonts w:hint="eastAsia" w:ascii="宋体" w:hAnsi="宋体" w:eastAsia="宋体" w:cs="宋体"/>
          <w:sz w:val="24"/>
          <w:szCs w:val="24"/>
          <w:highlight w:val="none"/>
        </w:rPr>
        <w:t>。</w:t>
      </w:r>
    </w:p>
    <w:p>
      <w:pPr>
        <w:snapToGrid w:val="0"/>
        <w:spacing w:line="360" w:lineRule="auto"/>
        <w:ind w:firstLine="240" w:firstLineChars="100"/>
        <w:rPr>
          <w:rFonts w:hint="eastAsia" w:ascii="宋体" w:hAnsi="宋体" w:eastAsia="宋体" w:cs="宋体"/>
          <w:sz w:val="24"/>
          <w:szCs w:val="24"/>
          <w:highlight w:val="none"/>
        </w:rPr>
      </w:pPr>
      <w:bookmarkStart w:id="5" w:name="_Toc28359002"/>
      <w:bookmarkStart w:id="6" w:name="_Toc35393790"/>
      <w:bookmarkStart w:id="7" w:name="_Toc35393621"/>
      <w:bookmarkStart w:id="8" w:name="_Toc28359079"/>
      <w:bookmarkStart w:id="9" w:name="_Hlk24379207"/>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bookmarkEnd w:id="5"/>
      <w:bookmarkEnd w:id="6"/>
      <w:bookmarkEnd w:id="7"/>
      <w:bookmarkEnd w:id="8"/>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val="zh-CN"/>
        </w:rPr>
        <w:t>JSRHJC202300</w:t>
      </w:r>
      <w:r>
        <w:rPr>
          <w:rFonts w:hint="eastAsia" w:ascii="宋体" w:hAnsi="宋体" w:eastAsia="宋体" w:cs="宋体"/>
          <w:sz w:val="24"/>
          <w:szCs w:val="24"/>
          <w:highlight w:val="none"/>
        </w:rPr>
        <w:t>2</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val="zh-CN"/>
        </w:rPr>
        <w:t xml:space="preserve">常州市普通国省道、县道公路交通情况调查站点布局方案研究项目 </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采购方式：口竞争性谈判☑竞争性磋商口询价</w:t>
      </w:r>
    </w:p>
    <w:bookmarkEnd w:id="9"/>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预算金额：25万元 </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最高限价：25万元</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采购需求：根据“省交通运输厅关于印发《江苏省公路交通情况调查站点布局规划方案（2020—2035 年）的通知》”（苏交计〔2021〕3号）要求，对常州市普通国省道上已建站点、在建及规划站点进行布局优化；对常州市农村公路县道进行交通情况调查站点布局规划方案研究。</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w:t>
      </w:r>
      <w:r>
        <w:rPr>
          <w:rFonts w:hint="eastAsia" w:ascii="宋体" w:hAnsi="宋体" w:eastAsia="宋体" w:cs="宋体"/>
          <w:spacing w:val="2"/>
          <w:sz w:val="24"/>
          <w:highlight w:val="none"/>
        </w:rPr>
        <w:t>自合同签订之日起至2023年3月</w:t>
      </w:r>
      <w:r>
        <w:rPr>
          <w:rFonts w:hint="eastAsia" w:ascii="宋体" w:hAnsi="宋体" w:eastAsia="宋体" w:cs="宋体"/>
          <w:spacing w:val="2"/>
          <w:sz w:val="24"/>
          <w:highlight w:val="none"/>
          <w:lang w:val="zh-CN"/>
        </w:rPr>
        <w:t>。</w:t>
      </w:r>
      <w:r>
        <w:rPr>
          <w:rFonts w:hint="eastAsia" w:ascii="宋体" w:hAnsi="宋体" w:eastAsia="宋体" w:cs="宋体"/>
          <w:spacing w:val="2"/>
          <w:sz w:val="24"/>
          <w:highlight w:val="none"/>
        </w:rPr>
        <w:t xml:space="preserve"> </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u w:val="single"/>
        </w:rPr>
        <w:t>不接受</w:t>
      </w:r>
      <w:r>
        <w:rPr>
          <w:rFonts w:hint="eastAsia" w:ascii="宋体" w:hAnsi="宋体" w:eastAsia="宋体" w:cs="宋体"/>
          <w:sz w:val="24"/>
          <w:szCs w:val="24"/>
          <w:highlight w:val="none"/>
        </w:rPr>
        <w:t>联合体。</w:t>
      </w:r>
    </w:p>
    <w:p>
      <w:pPr>
        <w:spacing w:line="360" w:lineRule="auto"/>
        <w:rPr>
          <w:rFonts w:hint="eastAsia" w:ascii="宋体" w:hAnsi="宋体" w:eastAsia="宋体" w:cs="宋体"/>
          <w:b/>
          <w:bCs/>
          <w:sz w:val="24"/>
          <w:szCs w:val="24"/>
          <w:highlight w:val="none"/>
        </w:rPr>
      </w:pPr>
      <w:bookmarkStart w:id="10" w:name="_Toc28359080"/>
      <w:bookmarkStart w:id="11" w:name="_Toc35393791"/>
      <w:bookmarkStart w:id="12" w:name="_Toc28359003"/>
      <w:bookmarkStart w:id="13" w:name="_Toc35393622"/>
      <w:r>
        <w:rPr>
          <w:rFonts w:hint="eastAsia" w:ascii="宋体" w:hAnsi="宋体" w:eastAsia="宋体" w:cs="宋体"/>
          <w:b/>
          <w:bCs/>
          <w:sz w:val="24"/>
          <w:szCs w:val="24"/>
          <w:highlight w:val="none"/>
        </w:rPr>
        <w:t>二、申请人的资格要求</w:t>
      </w:r>
      <w:bookmarkEnd w:id="10"/>
      <w:bookmarkEnd w:id="11"/>
      <w:bookmarkEnd w:id="12"/>
      <w:bookmarkEnd w:id="13"/>
      <w:r>
        <w:rPr>
          <w:rFonts w:hint="eastAsia" w:ascii="宋体" w:hAnsi="宋体" w:eastAsia="宋体" w:cs="宋体"/>
          <w:b/>
          <w:bCs/>
          <w:sz w:val="24"/>
          <w:szCs w:val="24"/>
          <w:highlight w:val="none"/>
        </w:rPr>
        <w:t>：</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pPr>
        <w:snapToGrid w:val="0"/>
        <w:spacing w:line="360" w:lineRule="auto"/>
        <w:ind w:firstLine="480" w:firstLineChars="200"/>
        <w:rPr>
          <w:rFonts w:hint="eastAsia" w:ascii="宋体" w:hAnsi="宋体" w:eastAsia="宋体" w:cs="宋体"/>
          <w:sz w:val="24"/>
          <w:szCs w:val="24"/>
          <w:highlight w:val="none"/>
        </w:rPr>
      </w:pPr>
      <w:bookmarkStart w:id="14" w:name="_Toc28359081"/>
      <w:bookmarkStart w:id="15" w:name="_Toc28359004"/>
      <w:r>
        <w:rPr>
          <w:rFonts w:hint="eastAsia" w:ascii="宋体" w:hAnsi="宋体" w:eastAsia="宋体" w:cs="宋体"/>
          <w:sz w:val="24"/>
          <w:szCs w:val="24"/>
          <w:highlight w:val="none"/>
        </w:rPr>
        <w:t>2.落实政府采购政策需满足的资格要求：无</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bookmarkStart w:id="16" w:name="_Toc35393623"/>
      <w:bookmarkStart w:id="17" w:name="_Toc35393792"/>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（1）未被“信用中国”网站（www.creditchina.gov.cn）或“中国政府采购网”网站（www.ccgp.gov.cn）列入失信被执行人、重大税收违法案件当事人名单、政府采购严重失信行为记录名单；</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（2）单位负责人为同一人或者存在直接控股、管理关系的不同供应商，不得参加同一合同项下的政府采购活动。</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（3）采购人的其他特定资格要求：无。</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三、获取采购文件</w:t>
      </w:r>
      <w:bookmarkEnd w:id="14"/>
      <w:bookmarkEnd w:id="15"/>
      <w:bookmarkEnd w:id="16"/>
      <w:bookmarkEnd w:id="17"/>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时间：2023年</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13</w:t>
      </w:r>
      <w:r>
        <w:rPr>
          <w:rFonts w:hint="eastAsia" w:ascii="宋体" w:hAnsi="宋体" w:eastAsia="宋体" w:cs="宋体"/>
          <w:bCs/>
          <w:color w:val="auto"/>
          <w:sz w:val="24"/>
          <w:szCs w:val="24"/>
          <w:highlight w:val="none"/>
        </w:rPr>
        <w:t>日至2023年</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日，每天上午8:30至11:30，下午13:30至17:00（北京时间，法定节假日除外）。</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地点：钟楼区玉龙南路280号常州大数据产业园2号楼19楼。</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方式：（供应商可采取以下任一种方式获取采购文件）</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（1）现场领购：提供领购资料至钟楼区玉龙南路280号常州大数据产业园2号楼19楼办理。</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（2）网络领购：若无法现金交纳，请联系姚女士，电 话：0519-86661066。交纳成功后，将符合要求的领购资料扫描件和报名费交纳凭证一并发送至邮箱：rhzh0603@126.com。</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（3）领购时须提供以下材料：</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①《投标报名申请表》原件一份（格式见附件）；</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②提供有效企业法人营业执照复印件加盖公章；</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售价：人民币伍佰元整(现金交纳或以公司指定方式支付)，采购文件售后一概不退。</w:t>
      </w:r>
    </w:p>
    <w:p>
      <w:pPr>
        <w:spacing w:line="360" w:lineRule="auto"/>
        <w:rPr>
          <w:rFonts w:hint="eastAsia" w:ascii="宋体" w:hAnsi="宋体" w:eastAsia="宋体" w:cs="宋体"/>
          <w:b/>
          <w:bCs/>
          <w:sz w:val="24"/>
          <w:szCs w:val="24"/>
          <w:highlight w:val="none"/>
        </w:rPr>
      </w:pPr>
      <w:bookmarkStart w:id="18" w:name="_Toc28359082"/>
      <w:bookmarkStart w:id="19" w:name="_Toc35393624"/>
      <w:bookmarkStart w:id="20" w:name="_Toc35393793"/>
      <w:bookmarkStart w:id="21" w:name="_Toc28359005"/>
      <w:r>
        <w:rPr>
          <w:rFonts w:hint="eastAsia" w:ascii="宋体" w:hAnsi="宋体" w:eastAsia="宋体" w:cs="宋体"/>
          <w:b/>
          <w:bCs/>
          <w:sz w:val="24"/>
          <w:szCs w:val="24"/>
          <w:highlight w:val="none"/>
        </w:rPr>
        <w:t>四、响应文件</w:t>
      </w:r>
      <w:bookmarkEnd w:id="18"/>
      <w:bookmarkEnd w:id="19"/>
      <w:bookmarkEnd w:id="20"/>
      <w:bookmarkEnd w:id="21"/>
      <w:r>
        <w:rPr>
          <w:rFonts w:hint="eastAsia" w:ascii="宋体" w:hAnsi="宋体" w:eastAsia="宋体" w:cs="宋体"/>
          <w:b/>
          <w:bCs/>
          <w:sz w:val="24"/>
          <w:szCs w:val="24"/>
          <w:highlight w:val="none"/>
        </w:rPr>
        <w:t>提交</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bCs/>
          <w:color w:val="auto"/>
          <w:sz w:val="24"/>
          <w:szCs w:val="24"/>
          <w:highlight w:val="none"/>
          <w:u w:val="single"/>
        </w:rPr>
        <w:t>2023年</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p>
    <w:p>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bCs/>
          <w:color w:val="auto"/>
          <w:sz w:val="24"/>
          <w:szCs w:val="24"/>
          <w:highlight w:val="none"/>
        </w:rPr>
        <w:t xml:space="preserve">钟楼区玉龙南路280号常州大数据产业园2号楼19楼常州市市场资源交易服务中心（平台）1905 开标室1              </w:t>
      </w:r>
    </w:p>
    <w:p>
      <w:pPr>
        <w:spacing w:line="360" w:lineRule="auto"/>
        <w:rPr>
          <w:rFonts w:hint="eastAsia" w:ascii="宋体" w:hAnsi="宋体" w:eastAsia="宋体" w:cs="宋体"/>
          <w:b/>
          <w:bCs/>
          <w:color w:val="auto"/>
          <w:sz w:val="24"/>
          <w:szCs w:val="24"/>
          <w:highlight w:val="none"/>
        </w:rPr>
      </w:pPr>
      <w:bookmarkStart w:id="22" w:name="_Toc35393617"/>
      <w:bookmarkStart w:id="23" w:name="_Toc35393786"/>
      <w:bookmarkStart w:id="24" w:name="_Toc28358998"/>
      <w:bookmarkStart w:id="25" w:name="_Toc28359075"/>
      <w:r>
        <w:rPr>
          <w:rFonts w:hint="eastAsia" w:ascii="宋体" w:hAnsi="宋体" w:eastAsia="宋体" w:cs="宋体"/>
          <w:b/>
          <w:bCs/>
          <w:color w:val="auto"/>
          <w:sz w:val="24"/>
          <w:szCs w:val="24"/>
          <w:highlight w:val="none"/>
        </w:rPr>
        <w:t>五、开启</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bCs/>
          <w:color w:val="auto"/>
          <w:sz w:val="24"/>
          <w:szCs w:val="24"/>
          <w:highlight w:val="none"/>
          <w:u w:val="single"/>
        </w:rPr>
        <w:t>2023年</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p>
    <w:p>
      <w:pPr>
        <w:snapToGrid w:val="0"/>
        <w:spacing w:line="360" w:lineRule="auto"/>
        <w:ind w:firstLine="480" w:firstLineChars="200"/>
        <w:rPr>
          <w:rFonts w:hint="eastAsia" w:ascii="宋体" w:hAnsi="宋体" w:eastAsia="宋体" w:cs="宋体"/>
          <w:bCs/>
          <w:color w:val="FF0000"/>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bCs/>
          <w:sz w:val="24"/>
          <w:szCs w:val="24"/>
          <w:highlight w:val="none"/>
        </w:rPr>
        <w:t xml:space="preserve">钟楼区玉龙南路280号常州大数据产业园2号楼19楼常州市市场资源交易服务中心（平台）1905 开标室1        </w:t>
      </w:r>
      <w:r>
        <w:rPr>
          <w:rFonts w:hint="eastAsia" w:ascii="宋体" w:hAnsi="宋体" w:eastAsia="宋体" w:cs="宋体"/>
          <w:bCs/>
          <w:color w:val="FF0000"/>
          <w:sz w:val="24"/>
          <w:szCs w:val="24"/>
          <w:highlight w:val="none"/>
        </w:rPr>
        <w:t xml:space="preserve">   </w:t>
      </w:r>
    </w:p>
    <w:p>
      <w:pPr>
        <w:spacing w:line="360" w:lineRule="auto"/>
        <w:rPr>
          <w:rFonts w:hint="eastAsia" w:ascii="宋体" w:hAnsi="宋体" w:eastAsia="宋体" w:cs="宋体"/>
          <w:b/>
          <w:bCs/>
          <w:sz w:val="24"/>
          <w:szCs w:val="24"/>
          <w:highlight w:val="none"/>
        </w:rPr>
      </w:pPr>
      <w:bookmarkStart w:id="26" w:name="_Toc28359084"/>
      <w:bookmarkStart w:id="27" w:name="_Toc35393625"/>
      <w:bookmarkStart w:id="28" w:name="_Toc28359007"/>
      <w:bookmarkStart w:id="29" w:name="_Toc35393794"/>
      <w:r>
        <w:rPr>
          <w:rFonts w:hint="eastAsia" w:ascii="宋体" w:hAnsi="宋体" w:eastAsia="宋体" w:cs="宋体"/>
          <w:b/>
          <w:bCs/>
          <w:sz w:val="24"/>
          <w:szCs w:val="24"/>
          <w:highlight w:val="none"/>
        </w:rPr>
        <w:t>六、公告期限</w:t>
      </w:r>
      <w:bookmarkEnd w:id="26"/>
      <w:bookmarkEnd w:id="27"/>
      <w:bookmarkEnd w:id="28"/>
      <w:bookmarkEnd w:id="29"/>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自本公告发布之日起3个工作日。   </w:t>
      </w:r>
    </w:p>
    <w:p>
      <w:pPr>
        <w:spacing w:line="360" w:lineRule="auto"/>
        <w:rPr>
          <w:rFonts w:hint="eastAsia" w:ascii="宋体" w:hAnsi="宋体" w:eastAsia="宋体" w:cs="宋体"/>
          <w:b/>
          <w:bCs/>
          <w:sz w:val="24"/>
          <w:szCs w:val="24"/>
          <w:highlight w:val="none"/>
        </w:rPr>
      </w:pPr>
      <w:bookmarkStart w:id="30" w:name="_Toc35393626"/>
      <w:bookmarkStart w:id="31" w:name="_Toc35393795"/>
      <w:r>
        <w:rPr>
          <w:rFonts w:hint="eastAsia" w:ascii="宋体" w:hAnsi="宋体" w:eastAsia="宋体" w:cs="宋体"/>
          <w:b/>
          <w:bCs/>
          <w:sz w:val="24"/>
          <w:szCs w:val="24"/>
          <w:highlight w:val="none"/>
        </w:rPr>
        <w:t>七、其他补充事宜</w:t>
      </w:r>
      <w:bookmarkEnd w:id="30"/>
      <w:bookmarkEnd w:id="31"/>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1.现场踏勘：供应商自行踏勘现场。</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2.有关本次采购项目的事项若存在变动或修改，采购代理机构将通过补充或更正形式在网站上发布，因未能及时了解相关最新信息所引起的投标失误责任由供应商自负。</w:t>
      </w:r>
    </w:p>
    <w:p>
      <w:pPr>
        <w:spacing w:line="360" w:lineRule="auto"/>
        <w:rPr>
          <w:rFonts w:hint="eastAsia" w:ascii="宋体" w:hAnsi="宋体" w:eastAsia="宋体" w:cs="宋体"/>
          <w:b/>
          <w:bCs/>
          <w:sz w:val="24"/>
          <w:szCs w:val="24"/>
          <w:highlight w:val="none"/>
        </w:rPr>
      </w:pPr>
      <w:bookmarkStart w:id="32" w:name="_Toc35393796"/>
      <w:bookmarkStart w:id="33" w:name="_Toc28359085"/>
      <w:bookmarkStart w:id="34" w:name="_Toc28359008"/>
      <w:bookmarkStart w:id="35" w:name="_Toc35393627"/>
      <w:r>
        <w:rPr>
          <w:rFonts w:hint="eastAsia" w:ascii="宋体" w:hAnsi="宋体" w:eastAsia="宋体" w:cs="宋体"/>
          <w:b/>
          <w:bCs/>
          <w:sz w:val="24"/>
          <w:szCs w:val="24"/>
          <w:highlight w:val="none"/>
        </w:rPr>
        <w:t>八、凡对本次采购提出询问，请按以下方式联系。</w:t>
      </w:r>
      <w:bookmarkEnd w:id="32"/>
      <w:bookmarkEnd w:id="33"/>
      <w:bookmarkEnd w:id="34"/>
      <w:bookmarkEnd w:id="35"/>
    </w:p>
    <w:bookmarkEnd w:id="22"/>
    <w:bookmarkEnd w:id="23"/>
    <w:bookmarkEnd w:id="24"/>
    <w:bookmarkEnd w:id="25"/>
    <w:p>
      <w:pPr>
        <w:snapToGrid w:val="0"/>
        <w:spacing w:line="360" w:lineRule="auto"/>
        <w:ind w:firstLine="480" w:firstLineChars="200"/>
        <w:rPr>
          <w:rFonts w:hint="eastAsia" w:ascii="宋体" w:hAnsi="宋体" w:eastAsia="宋体" w:cs="宋体"/>
          <w:sz w:val="24"/>
          <w:szCs w:val="24"/>
          <w:highlight w:val="none"/>
        </w:rPr>
      </w:pPr>
      <w:bookmarkStart w:id="36" w:name="_Toc55147046"/>
      <w:r>
        <w:rPr>
          <w:rFonts w:hint="eastAsia" w:ascii="宋体" w:hAnsi="宋体" w:eastAsia="宋体" w:cs="宋体"/>
          <w:sz w:val="24"/>
          <w:szCs w:val="24"/>
          <w:highlight w:val="none"/>
        </w:rPr>
        <w:t>1.采购人信息</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名    称：常州市公路事业发展中心</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址：朱夏墅村委叶西村42号</w:t>
      </w:r>
    </w:p>
    <w:p>
      <w:pPr>
        <w:widowControl/>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bookmarkStart w:id="37" w:name="_Toc35393618"/>
      <w:bookmarkStart w:id="38" w:name="_Toc28358999"/>
      <w:bookmarkStart w:id="39" w:name="_Toc28359076"/>
      <w:bookmarkStart w:id="40" w:name="_Toc35393787"/>
      <w:r>
        <w:rPr>
          <w:rFonts w:hint="eastAsia" w:ascii="宋体" w:hAnsi="宋体" w:eastAsia="宋体" w:cs="宋体"/>
          <w:sz w:val="24"/>
          <w:szCs w:val="24"/>
          <w:highlight w:val="none"/>
        </w:rPr>
        <w:t>0519-81661720</w:t>
      </w:r>
    </w:p>
    <w:p>
      <w:pPr>
        <w:widowControl/>
        <w:snapToGrid w:val="0"/>
        <w:spacing w:line="360" w:lineRule="auto"/>
        <w:ind w:firstLine="480" w:firstLineChars="200"/>
        <w:jc w:val="left"/>
        <w:rPr>
          <w:rFonts w:hint="eastAsia" w:ascii="宋体" w:hAnsi="宋体" w:eastAsia="宋体" w:cs="宋体"/>
          <w:sz w:val="24"/>
          <w:szCs w:val="24"/>
          <w:highlight w:val="none"/>
        </w:rPr>
      </w:pPr>
    </w:p>
    <w:p>
      <w:pPr>
        <w:widowControl/>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bookmarkEnd w:id="37"/>
      <w:bookmarkEnd w:id="38"/>
      <w:bookmarkEnd w:id="39"/>
      <w:bookmarkEnd w:id="40"/>
      <w:bookmarkStart w:id="41" w:name="_Toc28359000"/>
      <w:bookmarkStart w:id="42" w:name="_Toc35393788"/>
      <w:bookmarkStart w:id="43" w:name="_Toc28359077"/>
      <w:bookmarkStart w:id="44" w:name="_Toc35393619"/>
      <w:r>
        <w:rPr>
          <w:rFonts w:hint="eastAsia" w:ascii="宋体" w:hAnsi="宋体" w:eastAsia="宋体" w:cs="宋体"/>
          <w:highlight w:val="none"/>
        </w:rPr>
        <w:t xml:space="preserve"> </w:t>
      </w:r>
      <w:r>
        <w:rPr>
          <w:rFonts w:hint="eastAsia" w:ascii="宋体" w:hAnsi="宋体" w:eastAsia="宋体" w:cs="宋体"/>
          <w:sz w:val="24"/>
          <w:szCs w:val="24"/>
          <w:highlight w:val="none"/>
        </w:rPr>
        <w:t>采购代理机构信息</w:t>
      </w:r>
    </w:p>
    <w:p>
      <w:pPr>
        <w:widowControl/>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名  称：江苏仁禾中衡工程咨询房地产估价有限公司</w:t>
      </w:r>
    </w:p>
    <w:p>
      <w:pPr>
        <w:widowControl/>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bCs/>
          <w:sz w:val="24"/>
          <w:szCs w:val="24"/>
          <w:highlight w:val="none"/>
        </w:rPr>
        <w:t>钟楼区玉龙南路280号常州大数据产业园2号楼19楼。</w:t>
      </w:r>
    </w:p>
    <w:p>
      <w:pPr>
        <w:widowControl/>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bookmarkEnd w:id="41"/>
      <w:bookmarkEnd w:id="42"/>
      <w:bookmarkEnd w:id="43"/>
      <w:bookmarkEnd w:id="44"/>
      <w:r>
        <w:rPr>
          <w:rFonts w:hint="eastAsia" w:ascii="宋体" w:hAnsi="宋体" w:eastAsia="宋体" w:cs="宋体"/>
          <w:sz w:val="24"/>
          <w:szCs w:val="24"/>
          <w:highlight w:val="none"/>
        </w:rPr>
        <w:t>0519-86661066</w:t>
      </w:r>
    </w:p>
    <w:p>
      <w:pPr>
        <w:widowControl/>
        <w:snapToGrid w:val="0"/>
        <w:spacing w:line="360" w:lineRule="auto"/>
        <w:ind w:firstLine="480" w:firstLineChars="200"/>
        <w:jc w:val="left"/>
        <w:rPr>
          <w:rFonts w:hint="eastAsia" w:ascii="宋体" w:hAnsi="宋体" w:eastAsia="宋体" w:cs="宋体"/>
          <w:sz w:val="24"/>
          <w:szCs w:val="24"/>
          <w:highlight w:val="none"/>
        </w:rPr>
      </w:pPr>
    </w:p>
    <w:p>
      <w:pPr>
        <w:widowControl/>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pPr>
        <w:widowControl/>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项目联系人：刘女士</w:t>
      </w:r>
    </w:p>
    <w:p>
      <w:pPr>
        <w:widowControl/>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话：0519-86661067</w:t>
      </w:r>
    </w:p>
    <w:p>
      <w:pPr>
        <w:widowControl/>
        <w:jc w:val="left"/>
        <w:rPr>
          <w:rFonts w:hint="eastAsia" w:ascii="宋体" w:hAnsi="宋体" w:eastAsia="宋体" w:cs="宋体"/>
          <w:sz w:val="24"/>
          <w:szCs w:val="24"/>
          <w:highlight w:val="none"/>
        </w:rPr>
      </w:pPr>
    </w:p>
    <w:p>
      <w:pPr>
        <w:widowControl/>
        <w:jc w:val="left"/>
        <w:rPr>
          <w:rFonts w:hint="eastAsia" w:ascii="宋体" w:hAnsi="宋体" w:eastAsia="宋体" w:cs="宋体"/>
          <w:bCs/>
          <w:kern w:val="0"/>
          <w:sz w:val="28"/>
          <w:szCs w:val="28"/>
          <w:highlight w:val="none"/>
        </w:rPr>
      </w:pPr>
      <w:bookmarkStart w:id="45" w:name="_Toc92976616"/>
      <w:r>
        <w:rPr>
          <w:rFonts w:hint="eastAsia" w:ascii="宋体" w:hAnsi="宋体" w:eastAsia="宋体" w:cs="宋体"/>
          <w:highlight w:val="none"/>
        </w:rPr>
        <w:br w:type="page"/>
      </w:r>
    </w:p>
    <w:p>
      <w:pPr>
        <w:pStyle w:val="121"/>
        <w:rPr>
          <w:rFonts w:hint="eastAsia" w:ascii="宋体" w:hAnsi="宋体" w:eastAsia="宋体" w:cs="宋体"/>
          <w:highlight w:val="none"/>
        </w:rPr>
      </w:pPr>
      <w:r>
        <w:rPr>
          <w:rFonts w:hint="eastAsia" w:ascii="宋体" w:hAnsi="宋体" w:eastAsia="宋体" w:cs="宋体"/>
          <w:highlight w:val="none"/>
        </w:rPr>
        <w:t>二．供应商须知</w:t>
      </w:r>
      <w:bookmarkEnd w:id="36"/>
      <w:bookmarkEnd w:id="45"/>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一、遵循原则</w:t>
      </w:r>
    </w:p>
    <w:p>
      <w:pPr>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公开透明原则、公平竞争原则、公正原则和诚实信用原则。</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二、采购文件</w:t>
      </w:r>
    </w:p>
    <w:p>
      <w:pPr>
        <w:tabs>
          <w:tab w:val="left" w:pos="-1260"/>
          <w:tab w:val="left" w:pos="525"/>
          <w:tab w:val="left" w:pos="846"/>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1.采购文件包括本文件目录所列全部内容，供应商应仔细阅读，并在响应文件中充分响应采购文件的所有要求。</w:t>
      </w:r>
    </w:p>
    <w:p>
      <w:pPr>
        <w:tabs>
          <w:tab w:val="left" w:pos="0"/>
          <w:tab w:val="left" w:pos="525"/>
          <w:tab w:val="left" w:pos="846"/>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2.采购文件中的“法定代表人”是指供应商的营业执照或相关部门的登记证明文件中的“法定代表人”或“负责人”。</w:t>
      </w:r>
    </w:p>
    <w:p>
      <w:pPr>
        <w:tabs>
          <w:tab w:val="left" w:pos="0"/>
          <w:tab w:val="left" w:pos="525"/>
          <w:tab w:val="left" w:pos="846"/>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3.</w:t>
      </w:r>
      <w:r>
        <w:rPr>
          <w:rFonts w:hint="eastAsia" w:ascii="宋体" w:hAnsi="宋体" w:eastAsia="宋体" w:cs="宋体"/>
          <w:bCs/>
          <w:color w:val="000000"/>
          <w:sz w:val="24"/>
          <w:szCs w:val="24"/>
          <w:highlight w:val="none"/>
        </w:rPr>
        <w:t>供应商应在获取采购文件及有关资料后，按要求制作</w:t>
      </w:r>
      <w:r>
        <w:rPr>
          <w:rFonts w:hint="eastAsia" w:ascii="宋体" w:hAnsi="宋体" w:eastAsia="宋体" w:cs="宋体"/>
          <w:sz w:val="24"/>
          <w:highlight w:val="none"/>
        </w:rPr>
        <w:t>投标文件</w:t>
      </w:r>
      <w:r>
        <w:rPr>
          <w:rFonts w:hint="eastAsia" w:ascii="宋体" w:hAnsi="宋体" w:eastAsia="宋体" w:cs="宋体"/>
          <w:bCs/>
          <w:color w:val="000000"/>
          <w:sz w:val="24"/>
          <w:szCs w:val="24"/>
          <w:highlight w:val="none"/>
        </w:rPr>
        <w:t>，对采购文件各项内容做出实质性响应，否则报价无效。</w:t>
      </w:r>
    </w:p>
    <w:p>
      <w:pPr>
        <w:tabs>
          <w:tab w:val="left" w:pos="0"/>
          <w:tab w:val="left" w:pos="525"/>
          <w:tab w:val="left" w:pos="846"/>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4.采购文件仅作为本次采购报价使用。</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三、采购文件的解释</w:t>
      </w:r>
    </w:p>
    <w:p>
      <w:pPr>
        <w:tabs>
          <w:tab w:val="left" w:pos="945"/>
        </w:tabs>
        <w:spacing w:line="360" w:lineRule="auto"/>
        <w:ind w:left="523"/>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本文件的最终解释权归江苏仁禾中衡工程咨询房地产估价有限公司。</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四、采购文件的补充或修正</w:t>
      </w:r>
    </w:p>
    <w:p>
      <w:pPr>
        <w:tabs>
          <w:tab w:val="left" w:pos="525"/>
          <w:tab w:val="left" w:pos="898"/>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1.供应商在收到采购文件后，如有疑问需要询问和澄清，应在响应文件提交截止时间的5日前以书面形式向采购人提出，如无疑问,视作供应商完全响应采购文件的条款和要求。</w:t>
      </w:r>
    </w:p>
    <w:p>
      <w:pPr>
        <w:tabs>
          <w:tab w:val="left" w:pos="525"/>
          <w:tab w:val="left" w:pos="898"/>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2.采购人有权对已发出的采购文件进行必要的澄清或修改，可视具体情况延长响应文件提交截止时间，并以更正公告形式通知所有供应商。</w:t>
      </w:r>
    </w:p>
    <w:p>
      <w:pPr>
        <w:tabs>
          <w:tab w:val="left" w:pos="525"/>
          <w:tab w:val="left" w:pos="898"/>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3.采购文件的修改和补充文件将作为采购文件的组成部分，并对供应商具有约束力。</w:t>
      </w:r>
    </w:p>
    <w:p>
      <w:pPr>
        <w:tabs>
          <w:tab w:val="left" w:pos="525"/>
          <w:tab w:val="left" w:pos="898"/>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4.更正公告以江苏仁禾中衡工程咨询房地产估价有限公司网（http://www.jsrhzh.com/info.asp?id=1）所发布的为准。</w:t>
      </w:r>
    </w:p>
    <w:p>
      <w:pPr>
        <w:pStyle w:val="109"/>
        <w:numPr>
          <w:ilvl w:val="0"/>
          <w:numId w:val="2"/>
        </w:numPr>
        <w:spacing w:line="360" w:lineRule="auto"/>
        <w:ind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响应文件的组成</w:t>
      </w:r>
    </w:p>
    <w:p>
      <w:pPr>
        <w:tabs>
          <w:tab w:val="left" w:pos="525"/>
          <w:tab w:val="left" w:pos="945"/>
          <w:tab w:val="left" w:pos="3255"/>
        </w:tabs>
        <w:spacing w:line="360" w:lineRule="auto"/>
        <w:ind w:left="48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1.供应商情况说明</w:t>
      </w:r>
    </w:p>
    <w:p>
      <w:pPr>
        <w:tabs>
          <w:tab w:val="left" w:pos="525"/>
          <w:tab w:val="left" w:pos="630"/>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供应商简介（含供应商规模、银行资信、技术能力及装备水平等）、人员情况、典型项目介绍。</w:t>
      </w:r>
    </w:p>
    <w:p>
      <w:pPr>
        <w:tabs>
          <w:tab w:val="left" w:pos="525"/>
          <w:tab w:val="left" w:pos="945"/>
          <w:tab w:val="left" w:pos="3255"/>
        </w:tabs>
        <w:spacing w:line="360" w:lineRule="auto"/>
        <w:ind w:left="524"/>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2.响应函（格式见附件）</w:t>
      </w:r>
    </w:p>
    <w:p>
      <w:pPr>
        <w:tabs>
          <w:tab w:val="left" w:pos="525"/>
          <w:tab w:val="left" w:pos="945"/>
          <w:tab w:val="left" w:pos="3255"/>
        </w:tabs>
        <w:spacing w:line="360" w:lineRule="auto"/>
        <w:ind w:left="524"/>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3.资格、资信证明文件：</w:t>
      </w:r>
    </w:p>
    <w:p>
      <w:pPr>
        <w:tabs>
          <w:tab w:val="left" w:pos="630"/>
          <w:tab w:val="left" w:pos="1276"/>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（1）关于资格的声明函（</w:t>
      </w:r>
      <w:r>
        <w:rPr>
          <w:rFonts w:hint="eastAsia" w:ascii="宋体" w:hAnsi="宋体" w:eastAsia="宋体" w:cs="宋体"/>
          <w:b/>
          <w:bCs/>
          <w:color w:val="000000" w:themeColor="text1"/>
          <w:sz w:val="24"/>
          <w:szCs w:val="24"/>
          <w:highlight w:val="none"/>
        </w:rPr>
        <w:t>格式见附件</w:t>
      </w:r>
      <w:r>
        <w:rPr>
          <w:rFonts w:hint="eastAsia" w:ascii="宋体" w:hAnsi="宋体" w:eastAsia="宋体" w:cs="宋体"/>
          <w:bCs/>
          <w:color w:val="000000" w:themeColor="text1"/>
          <w:sz w:val="24"/>
          <w:szCs w:val="24"/>
          <w:highlight w:val="none"/>
        </w:rPr>
        <w:t>）；</w:t>
      </w:r>
    </w:p>
    <w:p>
      <w:pPr>
        <w:tabs>
          <w:tab w:val="left" w:pos="630"/>
          <w:tab w:val="left" w:pos="1276"/>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sz w:val="24"/>
          <w:highlight w:val="none"/>
        </w:rPr>
        <w:t>（2）法定代表人资格证明书/法定代表人授权委托书（</w:t>
      </w:r>
      <w:r>
        <w:rPr>
          <w:rFonts w:hint="eastAsia" w:ascii="宋体" w:hAnsi="宋体" w:eastAsia="宋体" w:cs="宋体"/>
          <w:b/>
          <w:sz w:val="24"/>
          <w:highlight w:val="none"/>
        </w:rPr>
        <w:t>格式见附件</w:t>
      </w:r>
      <w:r>
        <w:rPr>
          <w:rFonts w:hint="eastAsia" w:ascii="宋体" w:hAnsi="宋体" w:eastAsia="宋体" w:cs="宋体"/>
          <w:sz w:val="24"/>
          <w:highlight w:val="none"/>
        </w:rPr>
        <w:t>）；</w:t>
      </w:r>
    </w:p>
    <w:p>
      <w:pPr>
        <w:tabs>
          <w:tab w:val="left" w:pos="630"/>
          <w:tab w:val="left" w:pos="1276"/>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（3）具有独立承担民事责任能力的供应商营业执照或相关部门的登记证明文件复印件；</w:t>
      </w:r>
    </w:p>
    <w:p>
      <w:pPr>
        <w:tabs>
          <w:tab w:val="left" w:pos="945"/>
          <w:tab w:val="left" w:pos="1276"/>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bCs/>
          <w:color w:val="000000" w:themeColor="text1"/>
          <w:sz w:val="24"/>
          <w:szCs w:val="24"/>
          <w:highlight w:val="none"/>
        </w:rPr>
        <w:t>（4）</w:t>
      </w:r>
      <w:r>
        <w:rPr>
          <w:rFonts w:hint="eastAsia" w:ascii="宋体" w:hAnsi="宋体" w:eastAsia="宋体" w:cs="宋体"/>
          <w:sz w:val="24"/>
          <w:highlight w:val="none"/>
        </w:rPr>
        <w:t>具备履行合同所必需的设备和专业技术能力的书面声明（</w:t>
      </w:r>
      <w:r>
        <w:rPr>
          <w:rFonts w:hint="eastAsia" w:ascii="宋体" w:hAnsi="宋体" w:eastAsia="宋体" w:cs="宋体"/>
          <w:b/>
          <w:sz w:val="24"/>
          <w:highlight w:val="none"/>
        </w:rPr>
        <w:t>格式见附件</w:t>
      </w:r>
      <w:r>
        <w:rPr>
          <w:rFonts w:hint="eastAsia" w:ascii="宋体" w:hAnsi="宋体" w:eastAsia="宋体" w:cs="宋体"/>
          <w:sz w:val="24"/>
          <w:highlight w:val="none"/>
        </w:rPr>
        <w:t>）；</w:t>
      </w:r>
    </w:p>
    <w:p>
      <w:pPr>
        <w:tabs>
          <w:tab w:val="left" w:pos="630"/>
          <w:tab w:val="left" w:pos="945"/>
          <w:tab w:val="left" w:pos="1276"/>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sz w:val="24"/>
          <w:highlight w:val="none"/>
        </w:rPr>
        <w:t>（5）参加政府采购活动前 3 年内在经营活动中没有重大违法记录的书面声明（</w:t>
      </w:r>
      <w:r>
        <w:rPr>
          <w:rFonts w:hint="eastAsia" w:ascii="宋体" w:hAnsi="宋体" w:eastAsia="宋体" w:cs="宋体"/>
          <w:b/>
          <w:sz w:val="24"/>
          <w:highlight w:val="none"/>
        </w:rPr>
        <w:t>格式见附件</w:t>
      </w:r>
      <w:r>
        <w:rPr>
          <w:rFonts w:hint="eastAsia" w:ascii="宋体" w:hAnsi="宋体" w:eastAsia="宋体" w:cs="宋体"/>
          <w:sz w:val="24"/>
          <w:highlight w:val="none"/>
        </w:rPr>
        <w:t>）；</w:t>
      </w:r>
    </w:p>
    <w:p>
      <w:pPr>
        <w:tabs>
          <w:tab w:val="left" w:pos="630"/>
          <w:tab w:val="left" w:pos="945"/>
          <w:tab w:val="left" w:pos="1276"/>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（6）采购人要求的特定资质证明（详见“磋商邀请函”-“申请人的资格要求”）。</w:t>
      </w:r>
    </w:p>
    <w:p>
      <w:pPr>
        <w:tabs>
          <w:tab w:val="left" w:pos="525"/>
          <w:tab w:val="left" w:pos="945"/>
          <w:tab w:val="left" w:pos="3255"/>
        </w:tabs>
        <w:spacing w:line="360" w:lineRule="auto"/>
        <w:ind w:left="524"/>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4.报价一览表（</w:t>
      </w:r>
      <w:r>
        <w:rPr>
          <w:rFonts w:hint="eastAsia" w:ascii="宋体" w:hAnsi="宋体" w:eastAsia="宋体" w:cs="宋体"/>
          <w:b/>
          <w:bCs/>
          <w:color w:val="000000" w:themeColor="text1"/>
          <w:sz w:val="24"/>
          <w:szCs w:val="24"/>
          <w:highlight w:val="none"/>
        </w:rPr>
        <w:t>格式见附件</w:t>
      </w:r>
      <w:r>
        <w:rPr>
          <w:rFonts w:hint="eastAsia" w:ascii="宋体" w:hAnsi="宋体" w:eastAsia="宋体" w:cs="宋体"/>
          <w:bCs/>
          <w:color w:val="000000" w:themeColor="text1"/>
          <w:sz w:val="24"/>
          <w:szCs w:val="24"/>
          <w:highlight w:val="none"/>
        </w:rPr>
        <w:t>）</w:t>
      </w:r>
    </w:p>
    <w:p>
      <w:pPr>
        <w:tabs>
          <w:tab w:val="left" w:pos="525"/>
          <w:tab w:val="left" w:pos="945"/>
          <w:tab w:val="left" w:pos="3255"/>
        </w:tabs>
        <w:spacing w:line="360" w:lineRule="auto"/>
        <w:ind w:left="524"/>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5.明细报价表（</w:t>
      </w:r>
      <w:r>
        <w:rPr>
          <w:rFonts w:hint="eastAsia" w:ascii="宋体" w:hAnsi="宋体" w:eastAsia="宋体" w:cs="宋体"/>
          <w:b/>
          <w:bCs/>
          <w:color w:val="000000" w:themeColor="text1"/>
          <w:sz w:val="24"/>
          <w:szCs w:val="24"/>
          <w:highlight w:val="none"/>
        </w:rPr>
        <w:t>格式见附件</w:t>
      </w:r>
      <w:r>
        <w:rPr>
          <w:rFonts w:hint="eastAsia" w:ascii="宋体" w:hAnsi="宋体" w:eastAsia="宋体" w:cs="宋体"/>
          <w:bCs/>
          <w:color w:val="000000" w:themeColor="text1"/>
          <w:sz w:val="24"/>
          <w:szCs w:val="24"/>
          <w:highlight w:val="none"/>
        </w:rPr>
        <w:t>）</w:t>
      </w:r>
    </w:p>
    <w:p>
      <w:pPr>
        <w:tabs>
          <w:tab w:val="left" w:pos="525"/>
          <w:tab w:val="left" w:pos="945"/>
          <w:tab w:val="left" w:pos="3255"/>
        </w:tabs>
        <w:spacing w:line="360" w:lineRule="auto"/>
        <w:ind w:left="524"/>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6.技术参数偏离表（</w:t>
      </w:r>
      <w:r>
        <w:rPr>
          <w:rFonts w:hint="eastAsia" w:ascii="宋体" w:hAnsi="宋体" w:eastAsia="宋体" w:cs="宋体"/>
          <w:b/>
          <w:bCs/>
          <w:color w:val="000000" w:themeColor="text1"/>
          <w:sz w:val="24"/>
          <w:szCs w:val="24"/>
          <w:highlight w:val="none"/>
        </w:rPr>
        <w:t>格式见附件</w:t>
      </w:r>
      <w:r>
        <w:rPr>
          <w:rFonts w:hint="eastAsia" w:ascii="宋体" w:hAnsi="宋体" w:eastAsia="宋体" w:cs="宋体"/>
          <w:bCs/>
          <w:color w:val="000000" w:themeColor="text1"/>
          <w:sz w:val="24"/>
          <w:szCs w:val="24"/>
          <w:highlight w:val="none"/>
        </w:rPr>
        <w:t>）</w:t>
      </w:r>
    </w:p>
    <w:p>
      <w:pPr>
        <w:tabs>
          <w:tab w:val="left" w:pos="525"/>
          <w:tab w:val="left" w:pos="945"/>
          <w:tab w:val="left" w:pos="3255"/>
        </w:tabs>
        <w:spacing w:line="360" w:lineRule="auto"/>
        <w:ind w:left="524"/>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7.评分标准中对应的其它所需证明材料（</w:t>
      </w:r>
      <w:r>
        <w:rPr>
          <w:rFonts w:hint="eastAsia" w:ascii="宋体" w:hAnsi="宋体" w:eastAsia="宋体" w:cs="宋体"/>
          <w:b/>
          <w:bCs/>
          <w:color w:val="000000" w:themeColor="text1"/>
          <w:sz w:val="24"/>
          <w:szCs w:val="24"/>
          <w:highlight w:val="none"/>
        </w:rPr>
        <w:t>如有自行添加</w:t>
      </w:r>
      <w:r>
        <w:rPr>
          <w:rFonts w:hint="eastAsia" w:ascii="宋体" w:hAnsi="宋体" w:eastAsia="宋体" w:cs="宋体"/>
          <w:bCs/>
          <w:color w:val="000000" w:themeColor="text1"/>
          <w:sz w:val="24"/>
          <w:szCs w:val="24"/>
          <w:highlight w:val="none"/>
        </w:rPr>
        <w:t>）；</w:t>
      </w:r>
    </w:p>
    <w:p>
      <w:pPr>
        <w:tabs>
          <w:tab w:val="left" w:pos="525"/>
          <w:tab w:val="left" w:pos="945"/>
          <w:tab w:val="left" w:pos="3255"/>
        </w:tabs>
        <w:spacing w:line="360" w:lineRule="auto"/>
        <w:ind w:left="524"/>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8.采购文件要求供应商提供的和供应商认为与本项目有关的并可以提供的其它相关的证明材料（</w:t>
      </w:r>
      <w:r>
        <w:rPr>
          <w:rFonts w:hint="eastAsia" w:ascii="宋体" w:hAnsi="宋体" w:eastAsia="宋体" w:cs="宋体"/>
          <w:b/>
          <w:bCs/>
          <w:color w:val="000000" w:themeColor="text1"/>
          <w:sz w:val="24"/>
          <w:szCs w:val="24"/>
          <w:highlight w:val="none"/>
        </w:rPr>
        <w:t>如有自拟并自行添加</w:t>
      </w:r>
      <w:r>
        <w:rPr>
          <w:rFonts w:hint="eastAsia" w:ascii="宋体" w:hAnsi="宋体" w:eastAsia="宋体" w:cs="宋体"/>
          <w:bCs/>
          <w:color w:val="000000" w:themeColor="text1"/>
          <w:sz w:val="24"/>
          <w:szCs w:val="24"/>
          <w:highlight w:val="none"/>
        </w:rPr>
        <w:t>）；</w:t>
      </w:r>
    </w:p>
    <w:p>
      <w:pPr>
        <w:tabs>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上述2-6项供应商必须按要求全部提供</w:t>
      </w:r>
      <w:r>
        <w:rPr>
          <w:rFonts w:hint="eastAsia" w:ascii="宋体" w:hAnsi="宋体" w:eastAsia="宋体" w:cs="宋体"/>
          <w:b/>
          <w:bCs/>
          <w:color w:val="000000" w:themeColor="text1"/>
          <w:sz w:val="24"/>
          <w:szCs w:val="24"/>
          <w:highlight w:val="none"/>
        </w:rPr>
        <w:t>（如投标人组成联合体投标，参加联合体的各方均需提供）</w:t>
      </w:r>
      <w:r>
        <w:rPr>
          <w:rFonts w:hint="eastAsia" w:ascii="宋体" w:hAnsi="宋体" w:eastAsia="宋体" w:cs="宋体"/>
          <w:bCs/>
          <w:color w:val="000000" w:themeColor="text1"/>
          <w:sz w:val="24"/>
          <w:szCs w:val="24"/>
          <w:highlight w:val="none"/>
        </w:rPr>
        <w:t>，否则响应文件无效。</w:t>
      </w:r>
      <w:r>
        <w:rPr>
          <w:rFonts w:hint="eastAsia" w:ascii="宋体" w:hAnsi="宋体" w:eastAsia="宋体" w:cs="宋体"/>
          <w:color w:val="000000" w:themeColor="text1"/>
          <w:sz w:val="24"/>
          <w:szCs w:val="24"/>
          <w:highlight w:val="none"/>
        </w:rPr>
        <w:t>如上述资格证明文件遇年检、换证，则必须提供法定年检、换证单位出具的有效证明复印件。如上述资格证明文件第（4）（5）（6）三项遇有国家相关政策规定可不具备的，必须提供相关政策规定或相关单位出具的有效证明复印件。</w:t>
      </w:r>
      <w:r>
        <w:rPr>
          <w:rFonts w:hint="eastAsia" w:ascii="宋体" w:hAnsi="宋体" w:eastAsia="宋体" w:cs="宋体"/>
          <w:bCs/>
          <w:color w:val="000000" w:themeColor="text1"/>
          <w:sz w:val="24"/>
          <w:szCs w:val="24"/>
          <w:highlight w:val="none"/>
        </w:rPr>
        <w:t>供应商法定代表人或法定代表人授权代表为外籍、港、澳、台地区人士的，其身份证明须提供有效的护照或港澳同胞来往内地通行证、台湾同胞来往大陆通行证，或其它可在中国大陆有效居留的许可证明。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六、响应文件的制作</w:t>
      </w:r>
    </w:p>
    <w:p>
      <w:pPr>
        <w:tabs>
          <w:tab w:val="left" w:pos="525"/>
          <w:tab w:val="left" w:pos="898"/>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
          <w:sz w:val="24"/>
          <w:highlight w:val="none"/>
        </w:rPr>
        <w:t>1.响应文件共一式叁份，“正本”壹份、“副本”贰份。</w:t>
      </w:r>
      <w:r>
        <w:rPr>
          <w:rFonts w:hint="eastAsia" w:ascii="宋体" w:hAnsi="宋体" w:eastAsia="宋体" w:cs="宋体"/>
          <w:sz w:val="24"/>
          <w:highlight w:val="none"/>
        </w:rPr>
        <w:t>在每一份响应文件上要标明“正本”或“副本”字样，一旦正本和副本有差异，以正本为准,正本、副本应分别装订成册并密封。</w:t>
      </w:r>
    </w:p>
    <w:p>
      <w:pPr>
        <w:tabs>
          <w:tab w:val="left" w:pos="525"/>
          <w:tab w:val="left" w:pos="898"/>
          <w:tab w:val="left" w:pos="945"/>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2.响应文件密封口须加盖供应商公章、法定代表人或授权委托人签字或盖章，封皮上写明采购编号、采购项目名称、供应商名称。所有响应文件都必须密封盖章。</w:t>
      </w:r>
    </w:p>
    <w:p>
      <w:pPr>
        <w:tabs>
          <w:tab w:val="left" w:pos="525"/>
          <w:tab w:val="left" w:pos="898"/>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sz w:val="24"/>
          <w:highlight w:val="none"/>
        </w:rPr>
        <w:t>3.如果供应商未按上述要求密封及加写标记，其响应文件将被拒收。采购代理机构对响应文件的误投和提前启封概不负责，对由此造成提前开封的响应文件，采购代理机构有权拒绝。</w:t>
      </w:r>
    </w:p>
    <w:p>
      <w:pPr>
        <w:tabs>
          <w:tab w:val="left" w:pos="525"/>
          <w:tab w:val="left" w:pos="898"/>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4.所有文件、往来函件均应使用简体中文（规格、型号辅助符号例外）。</w:t>
      </w:r>
    </w:p>
    <w:p>
      <w:pPr>
        <w:tabs>
          <w:tab w:val="left" w:pos="525"/>
          <w:tab w:val="left" w:pos="898"/>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sz w:val="24"/>
          <w:highlight w:val="none"/>
        </w:rPr>
        <w:t>5.响应</w:t>
      </w:r>
      <w:r>
        <w:rPr>
          <w:rFonts w:hint="eastAsia" w:ascii="宋体" w:hAnsi="宋体" w:eastAsia="宋体" w:cs="宋体"/>
          <w:bCs/>
          <w:color w:val="000000" w:themeColor="text1"/>
          <w:sz w:val="24"/>
          <w:szCs w:val="24"/>
          <w:highlight w:val="none"/>
        </w:rPr>
        <w:t>文件由供应商按要求如实填写，须有供应商（签章）、法定代表人或法定代表人授权代表签章，方为有效，未尽事宜可自行补充。</w:t>
      </w:r>
    </w:p>
    <w:p>
      <w:pPr>
        <w:tabs>
          <w:tab w:val="left" w:pos="525"/>
          <w:tab w:val="left" w:pos="898"/>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color w:val="000000" w:themeColor="text1"/>
          <w:sz w:val="24"/>
          <w:szCs w:val="24"/>
          <w:highlight w:val="none"/>
          <w:lang w:val="zh-CN"/>
        </w:rPr>
        <w:t>6.如无特别说明，</w:t>
      </w:r>
      <w:r>
        <w:rPr>
          <w:rFonts w:hint="eastAsia" w:ascii="宋体" w:hAnsi="宋体" w:eastAsia="宋体" w:cs="宋体"/>
          <w:bCs/>
          <w:color w:val="000000" w:themeColor="text1"/>
          <w:sz w:val="24"/>
          <w:szCs w:val="24"/>
          <w:highlight w:val="none"/>
        </w:rPr>
        <w:t>供应商报价一律以人民币为投标结算货币,结算单位为“元”。</w:t>
      </w:r>
    </w:p>
    <w:p>
      <w:pPr>
        <w:tabs>
          <w:tab w:val="left" w:pos="525"/>
          <w:tab w:val="left" w:pos="898"/>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7.报价费用自理。</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七、无效响应文件的确认：</w:t>
      </w:r>
    </w:p>
    <w:p>
      <w:pPr>
        <w:tabs>
          <w:tab w:val="left" w:pos="945"/>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bCs/>
          <w:color w:val="000000" w:themeColor="text1"/>
          <w:sz w:val="24"/>
          <w:szCs w:val="24"/>
          <w:highlight w:val="none"/>
        </w:rPr>
        <w:t>有下列情况之一者，</w:t>
      </w:r>
      <w:r>
        <w:rPr>
          <w:rFonts w:hint="eastAsia" w:ascii="宋体" w:hAnsi="宋体" w:eastAsia="宋体" w:cs="宋体"/>
          <w:sz w:val="24"/>
          <w:highlight w:val="none"/>
        </w:rPr>
        <w:t>响应</w:t>
      </w:r>
      <w:r>
        <w:rPr>
          <w:rFonts w:hint="eastAsia" w:ascii="宋体" w:hAnsi="宋体" w:eastAsia="宋体" w:cs="宋体"/>
          <w:bCs/>
          <w:color w:val="000000" w:themeColor="text1"/>
          <w:sz w:val="24"/>
          <w:szCs w:val="24"/>
          <w:highlight w:val="none"/>
        </w:rPr>
        <w:t>文件无效：</w:t>
      </w:r>
    </w:p>
    <w:p>
      <w:pPr>
        <w:tabs>
          <w:tab w:val="left" w:pos="762"/>
          <w:tab w:val="left" w:pos="945"/>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1.响应文件</w:t>
      </w:r>
      <w:r>
        <w:rPr>
          <w:rFonts w:hint="eastAsia" w:ascii="宋体" w:hAnsi="宋体" w:eastAsia="宋体" w:cs="宋体"/>
          <w:color w:val="000000" w:themeColor="text1"/>
          <w:sz w:val="24"/>
          <w:highlight w:val="none"/>
        </w:rPr>
        <w:t>封装</w:t>
      </w:r>
      <w:r>
        <w:rPr>
          <w:rFonts w:hint="eastAsia" w:ascii="宋体" w:hAnsi="宋体" w:eastAsia="宋体" w:cs="宋体"/>
          <w:sz w:val="24"/>
          <w:highlight w:val="none"/>
        </w:rPr>
        <w:t>未按规定标志、密封、盖章的；</w:t>
      </w:r>
    </w:p>
    <w:p>
      <w:pPr>
        <w:tabs>
          <w:tab w:val="left" w:pos="762"/>
          <w:tab w:val="left" w:pos="945"/>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2.响应文件未加盖供应商公章的；</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3.法定</w:t>
      </w:r>
      <w:r>
        <w:rPr>
          <w:rFonts w:hint="eastAsia" w:ascii="宋体" w:hAnsi="宋体" w:eastAsia="宋体" w:cs="宋体"/>
          <w:sz w:val="24"/>
          <w:highlight w:val="none"/>
        </w:rPr>
        <w:t>代表人资格证明书或授权委托书未提供的、无供应商公章的、无法定代表人或委托代理人签字或盖章的、非原件的；</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4.不具备采购文件中规定的资格要求或未按采购文件规定的要求提供资格、资信证明文件的；</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color w:val="000000" w:themeColor="text1"/>
          <w:sz w:val="24"/>
          <w:szCs w:val="24"/>
          <w:highlight w:val="none"/>
        </w:rPr>
        <w:t>5.被“信用中国”网站（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"http://www.creditchina.gov.cn" </w:instrText>
      </w:r>
      <w:r>
        <w:rPr>
          <w:rFonts w:hint="eastAsia" w:ascii="宋体" w:hAnsi="宋体" w:eastAsia="宋体" w:cs="宋体"/>
          <w:highlight w:val="none"/>
        </w:rPr>
        <w:fldChar w:fldCharType="separate"/>
      </w:r>
      <w:r>
        <w:rPr>
          <w:rFonts w:hint="eastAsia" w:ascii="宋体" w:hAnsi="宋体" w:eastAsia="宋体" w:cs="宋体"/>
          <w:bCs/>
          <w:color w:val="000000" w:themeColor="text1"/>
          <w:sz w:val="24"/>
          <w:szCs w:val="24"/>
          <w:highlight w:val="none"/>
        </w:rPr>
        <w:t>www.creditchina.gov.cn</w:t>
      </w:r>
      <w:r>
        <w:rPr>
          <w:rFonts w:hint="eastAsia" w:ascii="宋体" w:hAnsi="宋体" w:eastAsia="宋体" w:cs="宋体"/>
          <w:bCs/>
          <w:color w:val="000000" w:themeColor="text1"/>
          <w:sz w:val="24"/>
          <w:szCs w:val="24"/>
          <w:highlight w:val="none"/>
        </w:rPr>
        <w:fldChar w:fldCharType="end"/>
      </w:r>
      <w:r>
        <w:rPr>
          <w:rFonts w:hint="eastAsia" w:ascii="宋体" w:hAnsi="宋体" w:eastAsia="宋体" w:cs="宋体"/>
          <w:bCs/>
          <w:color w:val="000000" w:themeColor="text1"/>
          <w:sz w:val="24"/>
          <w:szCs w:val="24"/>
          <w:highlight w:val="none"/>
        </w:rPr>
        <w:t>）、中国政府采购网(www.ccgp.gov.cn)列入失信被执行人、重大税收违法案件当事人名单、</w:t>
      </w:r>
      <w:r>
        <w:rPr>
          <w:rFonts w:hint="eastAsia" w:ascii="宋体" w:hAnsi="宋体" w:eastAsia="宋体" w:cs="宋体"/>
          <w:color w:val="000000" w:themeColor="text1"/>
          <w:sz w:val="24"/>
          <w:szCs w:val="24"/>
          <w:highlight w:val="none"/>
        </w:rPr>
        <w:t>政府采购严重违法失信行为记录名单的；</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sz w:val="24"/>
          <w:highlight w:val="none"/>
        </w:rPr>
        <w:t>6.响应</w:t>
      </w:r>
      <w:r>
        <w:rPr>
          <w:rFonts w:hint="eastAsia" w:ascii="宋体" w:hAnsi="宋体" w:eastAsia="宋体" w:cs="宋体"/>
          <w:bCs/>
          <w:color w:val="000000" w:themeColor="text1"/>
          <w:sz w:val="24"/>
          <w:szCs w:val="24"/>
          <w:highlight w:val="none"/>
        </w:rPr>
        <w:t xml:space="preserve">文件未按采购文件规定的内容和要求填写的； </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sz w:val="24"/>
          <w:highlight w:val="none"/>
        </w:rPr>
        <w:t>7.响应</w:t>
      </w:r>
      <w:r>
        <w:rPr>
          <w:rFonts w:hint="eastAsia" w:ascii="宋体" w:hAnsi="宋体" w:eastAsia="宋体" w:cs="宋体"/>
          <w:bCs/>
          <w:color w:val="000000" w:themeColor="text1"/>
          <w:sz w:val="24"/>
          <w:szCs w:val="24"/>
          <w:highlight w:val="none"/>
        </w:rPr>
        <w:t>文件中有采购文件未允许提供的选择性内容；</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8.不同供应商委托同一单位或者个人办理报价事宜的；</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9.不同供应商的单位负责人为同一人或者存在直接控股、管理关系的；</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10.不同供应商的响应文件由同一单位或者同一个人编制的；</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11.不同供应商响应文件内容存在非正常一致、项目组成员出现同一人、响应文件中错误（或异常）一致或雷同、报价呈规律性差异的；</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12.不同供应商的报价资料相互混装、不同供应商的委托代理人、项目负责人以及其他相关人员有在同一个单位缴纳社会保险、同一响应文件中单位名称落款与公章不是同一单位的；</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13.项目（标段）报价总价超过本项目（标段）预算或最高限价的；</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14.提供虚假材料的（包括工商营业执照、财务报表、资格证明文件等）；</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15.响应文件含有采购人不能接受的附加条件的；</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16.评审委员会认定供应商的报价明显低于其他通过符合性审查供应商的报价，有可能影响产品质量或者不能诚信履约，且供应商不能应评审委员会要求在评审现场合理的时间内提供书面说明（必要时评审委员会可要求供应商提交相关证明材料）证明其报价合理性的；</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17.除单一来源采购项目外，为采购项目提供整体设计、规范编制或者项目管理、监理、检测等服务的；</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18.响应文件内容不全或不符合采购文件中规定的其它实质性要求的；</w:t>
      </w:r>
    </w:p>
    <w:p>
      <w:pPr>
        <w:tabs>
          <w:tab w:val="left" w:pos="762"/>
          <w:tab w:val="left" w:pos="945"/>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19.法律法规和采购文件规定的其它无效情形。</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八、磋商、评审</w:t>
      </w:r>
    </w:p>
    <w:p>
      <w:pPr>
        <w:tabs>
          <w:tab w:val="left" w:pos="630"/>
          <w:tab w:val="left" w:pos="1050"/>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磋商、评审工作由</w:t>
      </w:r>
      <w:r>
        <w:rPr>
          <w:rFonts w:hint="eastAsia" w:ascii="宋体" w:hAnsi="宋体" w:eastAsia="宋体" w:cs="宋体"/>
          <w:sz w:val="24"/>
          <w:highlight w:val="none"/>
        </w:rPr>
        <w:t>采购代理机构</w:t>
      </w:r>
      <w:r>
        <w:rPr>
          <w:rFonts w:hint="eastAsia" w:ascii="宋体" w:hAnsi="宋体" w:eastAsia="宋体" w:cs="宋体"/>
          <w:bCs/>
          <w:color w:val="000000"/>
          <w:sz w:val="24"/>
          <w:szCs w:val="24"/>
          <w:highlight w:val="none"/>
        </w:rPr>
        <w:t>负责组织。</w:t>
      </w:r>
    </w:p>
    <w:p>
      <w:pPr>
        <w:tabs>
          <w:tab w:val="left" w:pos="1050"/>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具体磋商、评审事务由依法组建的磋商小组负责。如有争议最终由磋商小组认定。</w:t>
      </w:r>
    </w:p>
    <w:p>
      <w:pPr>
        <w:tabs>
          <w:tab w:val="left" w:pos="525"/>
          <w:tab w:val="left" w:pos="630"/>
          <w:tab w:val="left" w:pos="945"/>
        </w:tabs>
        <w:spacing w:line="360" w:lineRule="auto"/>
        <w:ind w:left="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1.响应文件的审查</w:t>
      </w:r>
    </w:p>
    <w:p>
      <w:pPr>
        <w:tabs>
          <w:tab w:val="left" w:pos="510"/>
          <w:tab w:val="left" w:pos="630"/>
          <w:tab w:val="left" w:pos="945"/>
          <w:tab w:val="left" w:pos="1155"/>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（1）报价一览表内容与明细表内容不一致的，以报价一览表为准。</w:t>
      </w:r>
    </w:p>
    <w:p>
      <w:pPr>
        <w:tabs>
          <w:tab w:val="left" w:pos="630"/>
          <w:tab w:val="left" w:pos="945"/>
          <w:tab w:val="left" w:pos="1155"/>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pStyle w:val="109"/>
        <w:numPr>
          <w:ilvl w:val="0"/>
          <w:numId w:val="3"/>
        </w:numPr>
        <w:tabs>
          <w:tab w:val="left" w:pos="510"/>
          <w:tab w:val="left" w:pos="630"/>
          <w:tab w:val="left" w:pos="945"/>
          <w:tab w:val="left" w:pos="1155"/>
        </w:tabs>
        <w:spacing w:line="360" w:lineRule="auto"/>
        <w:ind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正本与副本不符，以正本为准。</w:t>
      </w:r>
    </w:p>
    <w:p>
      <w:pPr>
        <w:tabs>
          <w:tab w:val="left" w:pos="525"/>
          <w:tab w:val="left" w:pos="840"/>
          <w:tab w:val="left" w:pos="945"/>
        </w:tabs>
        <w:spacing w:line="360" w:lineRule="auto"/>
        <w:ind w:left="570"/>
        <w:rPr>
          <w:rFonts w:hint="eastAsia" w:ascii="宋体" w:hAnsi="宋体" w:eastAsia="宋体" w:cs="宋体"/>
          <w:bCs/>
          <w:color w:val="000000"/>
          <w:sz w:val="24"/>
          <w:szCs w:val="24"/>
          <w:highlight w:val="none"/>
        </w:rPr>
      </w:pPr>
      <w:r>
        <w:rPr>
          <w:rFonts w:hint="eastAsia" w:ascii="宋体" w:hAnsi="宋体" w:eastAsia="宋体" w:cs="宋体"/>
          <w:bCs/>
          <w:color w:val="000000"/>
          <w:sz w:val="24"/>
          <w:highlight w:val="none"/>
        </w:rPr>
        <w:t>2.磋商、评审程序</w:t>
      </w:r>
    </w:p>
    <w:p>
      <w:pPr>
        <w:tabs>
          <w:tab w:val="left" w:pos="945"/>
          <w:tab w:val="left" w:pos="1104"/>
          <w:tab w:val="left" w:pos="1155"/>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highlight w:val="none"/>
        </w:rPr>
        <w:t>（1）响应文件初审。初审分为资格性审查和符合性审查</w:t>
      </w:r>
      <w:r>
        <w:rPr>
          <w:rFonts w:hint="eastAsia" w:ascii="宋体" w:hAnsi="宋体" w:eastAsia="宋体" w:cs="宋体"/>
          <w:bCs/>
          <w:color w:val="000000"/>
          <w:sz w:val="24"/>
          <w:szCs w:val="24"/>
          <w:highlight w:val="none"/>
        </w:rPr>
        <w:t xml:space="preserve">。 </w:t>
      </w:r>
    </w:p>
    <w:p>
      <w:pPr>
        <w:numPr>
          <w:ilvl w:val="0"/>
          <w:numId w:val="4"/>
        </w:numPr>
        <w:tabs>
          <w:tab w:val="left" w:pos="210"/>
          <w:tab w:val="left" w:pos="945"/>
          <w:tab w:val="left" w:pos="1365"/>
          <w:tab w:val="clear" w:pos="570"/>
        </w:tabs>
        <w:spacing w:line="360" w:lineRule="auto"/>
        <w:ind w:left="0"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资格性审查。依据法律法规和采购文件的规定，对响应文件中的资格证明、投标保证金等进行审查；</w:t>
      </w:r>
      <w:r>
        <w:rPr>
          <w:rFonts w:hint="eastAsia" w:ascii="宋体" w:hAnsi="宋体" w:eastAsia="宋体" w:cs="宋体"/>
          <w:bCs/>
          <w:color w:val="000000"/>
          <w:sz w:val="24"/>
          <w:szCs w:val="24"/>
          <w:highlight w:val="none"/>
        </w:rPr>
        <w:t>通过“信用中国”网站（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"http://www.creditchina.gov.cn" </w:instrText>
      </w:r>
      <w:r>
        <w:rPr>
          <w:rFonts w:hint="eastAsia" w:ascii="宋体" w:hAnsi="宋体" w:eastAsia="宋体" w:cs="宋体"/>
          <w:highlight w:val="none"/>
        </w:rPr>
        <w:fldChar w:fldCharType="separate"/>
      </w:r>
      <w:r>
        <w:rPr>
          <w:rFonts w:hint="eastAsia" w:ascii="宋体" w:hAnsi="宋体" w:eastAsia="宋体" w:cs="宋体"/>
          <w:bCs/>
          <w:color w:val="000000"/>
          <w:sz w:val="24"/>
          <w:szCs w:val="24"/>
          <w:highlight w:val="none"/>
        </w:rPr>
        <w:t>www.creditchina.gov.cn</w:t>
      </w:r>
      <w:r>
        <w:rPr>
          <w:rFonts w:hint="eastAsia" w:ascii="宋体" w:hAnsi="宋体" w:eastAsia="宋体" w:cs="宋体"/>
          <w:bCs/>
          <w:color w:val="000000"/>
          <w:sz w:val="24"/>
          <w:szCs w:val="24"/>
          <w:highlight w:val="none"/>
        </w:rPr>
        <w:fldChar w:fldCharType="end"/>
      </w:r>
      <w:r>
        <w:rPr>
          <w:rFonts w:hint="eastAsia" w:ascii="宋体" w:hAnsi="宋体" w:eastAsia="宋体" w:cs="宋体"/>
          <w:bCs/>
          <w:color w:val="000000"/>
          <w:sz w:val="24"/>
          <w:szCs w:val="24"/>
          <w:highlight w:val="none"/>
        </w:rPr>
        <w:t>）查询报价供应商在报价截止时间之前，是否被列入</w:t>
      </w:r>
      <w:r>
        <w:rPr>
          <w:rFonts w:hint="eastAsia" w:ascii="宋体" w:hAnsi="宋体" w:eastAsia="宋体" w:cs="宋体"/>
          <w:color w:val="000000"/>
          <w:sz w:val="24"/>
          <w:szCs w:val="24"/>
          <w:highlight w:val="none"/>
        </w:rPr>
        <w:t>失信被执行人、重大税收违法案件当事人名单、政府采购严重违法失信行为记录名单，</w:t>
      </w:r>
      <w:r>
        <w:rPr>
          <w:rFonts w:hint="eastAsia" w:ascii="宋体" w:hAnsi="宋体" w:eastAsia="宋体" w:cs="宋体"/>
          <w:bCs/>
          <w:color w:val="000000"/>
          <w:sz w:val="24"/>
          <w:highlight w:val="none"/>
        </w:rPr>
        <w:t>以确定供应商是否具备报价资格。</w:t>
      </w:r>
    </w:p>
    <w:p>
      <w:pPr>
        <w:numPr>
          <w:ilvl w:val="0"/>
          <w:numId w:val="4"/>
        </w:numPr>
        <w:tabs>
          <w:tab w:val="left" w:pos="210"/>
          <w:tab w:val="left" w:pos="945"/>
          <w:tab w:val="left" w:pos="1365"/>
          <w:tab w:val="clear" w:pos="570"/>
        </w:tabs>
        <w:spacing w:line="360" w:lineRule="auto"/>
        <w:ind w:left="0" w:firstLine="523" w:firstLineChars="21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符合性审查。依据采购文件的规定，从响应文件的有效性、完整性和对采购文件的响应程度进行审查，以确定是否对采购文件的实质性要求作出响应。</w:t>
      </w:r>
    </w:p>
    <w:p>
      <w:pPr>
        <w:tabs>
          <w:tab w:val="left" w:pos="945"/>
          <w:tab w:val="left" w:pos="1104"/>
          <w:tab w:val="left" w:pos="1155"/>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澄清有关问题。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w:t>
      </w:r>
    </w:p>
    <w:p>
      <w:pPr>
        <w:tabs>
          <w:tab w:val="left" w:pos="945"/>
          <w:tab w:val="left" w:pos="1104"/>
          <w:tab w:val="left" w:pos="1155"/>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（3）磋商小组讨论、确定磋商程序和磋商内容。</w:t>
      </w:r>
    </w:p>
    <w:p>
      <w:pPr>
        <w:tabs>
          <w:tab w:val="left" w:pos="945"/>
          <w:tab w:val="left" w:pos="1104"/>
        </w:tabs>
        <w:spacing w:line="360" w:lineRule="auto"/>
        <w:ind w:firstLine="480"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（4）磋商小组集中与单一供应商分别进行磋商。磋商轮次由磋商小组视情况决定。</w:t>
      </w:r>
    </w:p>
    <w:p>
      <w:pPr>
        <w:tabs>
          <w:tab w:val="left" w:pos="945"/>
          <w:tab w:val="left" w:pos="1104"/>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在磋商过程中，磋商小组可以根据采购文件和磋商情况实质性变动采购需求中的技术、服务要求以及合同草案条款，但不得变动采购文件中的其他内容。对采购文件作出的实质性变动是采购文件的有效组成部分。如有实质性变动，磋商小组将以书面形式通知所有参加磋商的供应商。供应商应当按照采购文件的变动情况和磋商小组的要求在规定的时间内重新提交响应文件，并由其法定代表人或授权代表签字或者加盖公章。如有负偏离，将作为无效报价。</w:t>
      </w:r>
    </w:p>
    <w:p>
      <w:pPr>
        <w:tabs>
          <w:tab w:val="left" w:pos="945"/>
        </w:tabs>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3.评审方法</w:t>
      </w:r>
    </w:p>
    <w:p>
      <w:pPr>
        <w:tabs>
          <w:tab w:val="left" w:pos="900"/>
        </w:tabs>
        <w:spacing w:line="360" w:lineRule="auto"/>
        <w:ind w:firstLine="477" w:firstLineChars="199"/>
        <w:rPr>
          <w:rFonts w:hint="eastAsia" w:ascii="宋体" w:hAnsi="宋体" w:eastAsia="宋体" w:cs="宋体"/>
          <w:sz w:val="24"/>
          <w:szCs w:val="24"/>
          <w:highlight w:val="none"/>
        </w:rPr>
      </w:pPr>
      <w:r>
        <w:rPr>
          <w:rFonts w:hint="eastAsia" w:ascii="宋体" w:hAnsi="宋体" w:eastAsia="宋体" w:cs="宋体"/>
          <w:sz w:val="24"/>
          <w:szCs w:val="24"/>
          <w:highlight w:val="none"/>
        </w:rPr>
        <w:t>经磋商确定最终采购需求和提交最后报价的供应商后，由磋商小组采用综合评分法对提交最后报价的供应商的响应文件和最后报价进行综合评分。</w:t>
      </w:r>
    </w:p>
    <w:p>
      <w:pPr>
        <w:tabs>
          <w:tab w:val="left" w:pos="945"/>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磋商小组遵循公平、公正、择优原则，独立按照评分标准分别评定供应商的分值；各供应商的评审得分为各评委所评定分值的平均值，并按高低顺序排列，响应文件满足采购文件全部实质性要求且按评审因素的量化指标评审得分最高的供应商排名第一，为成交单位。若评审得分相同的，按最后报价由低到高顺序排列；评审得分且最后报价相同的，按技术指标优劣顺序排列。</w:t>
      </w:r>
    </w:p>
    <w:p>
      <w:pPr>
        <w:tabs>
          <w:tab w:val="left" w:pos="945"/>
        </w:tabs>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4.评分标准</w:t>
      </w:r>
    </w:p>
    <w:p>
      <w:pPr>
        <w:tabs>
          <w:tab w:val="left" w:pos="94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详见第五章 评分标准。</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九、确定成交供应商</w:t>
      </w:r>
    </w:p>
    <w:p>
      <w:pPr>
        <w:tabs>
          <w:tab w:val="left" w:pos="552"/>
          <w:tab w:val="left" w:pos="945"/>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1.磋商小组根据采购文件规定的评审方法和评分标准进行评审，按采购文件的要求依法确定成交供应商。</w:t>
      </w:r>
    </w:p>
    <w:p>
      <w:pPr>
        <w:tabs>
          <w:tab w:val="left" w:pos="525"/>
          <w:tab w:val="left" w:pos="552"/>
          <w:tab w:val="left" w:pos="945"/>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2.采购代理机构将评审结果通知所有参加报价的未成交供应商，并在江苏仁禾中衡工程咨询房地产估价有限公司网（http://www.jsrhzh.com/info.asp?id=1）发布成交公告。采购代理机构和磋商小组对未成交原因不做解释。</w:t>
      </w:r>
    </w:p>
    <w:p>
      <w:pPr>
        <w:tabs>
          <w:tab w:val="left" w:pos="525"/>
          <w:tab w:val="left" w:pos="552"/>
          <w:tab w:val="left" w:pos="945"/>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sz w:val="24"/>
          <w:highlight w:val="none"/>
        </w:rPr>
        <w:t>3.采购代理机构</w:t>
      </w:r>
      <w:r>
        <w:rPr>
          <w:rFonts w:hint="eastAsia" w:ascii="宋体" w:hAnsi="宋体" w:eastAsia="宋体" w:cs="宋体"/>
          <w:bCs/>
          <w:color w:val="000000"/>
          <w:sz w:val="24"/>
          <w:szCs w:val="24"/>
          <w:highlight w:val="none"/>
        </w:rPr>
        <w:t>向成交供应商发成交通知书。</w:t>
      </w:r>
    </w:p>
    <w:p>
      <w:pPr>
        <w:tabs>
          <w:tab w:val="left" w:pos="552"/>
          <w:tab w:val="left" w:pos="945"/>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themeColor="text1"/>
          <w:sz w:val="24"/>
          <w:szCs w:val="24"/>
          <w:highlight w:val="none"/>
        </w:rPr>
        <w:t>4.报价供应商提交的纸质响应文件将作为存档依据，不予退回</w:t>
      </w:r>
      <w:r>
        <w:rPr>
          <w:rFonts w:hint="eastAsia" w:ascii="宋体" w:hAnsi="宋体" w:eastAsia="宋体" w:cs="宋体"/>
          <w:bCs/>
          <w:color w:val="000000"/>
          <w:sz w:val="24"/>
          <w:szCs w:val="24"/>
          <w:highlight w:val="none"/>
        </w:rPr>
        <w:t>。</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十、采购终止</w:t>
      </w:r>
    </w:p>
    <w:p>
      <w:pPr>
        <w:spacing w:line="360" w:lineRule="auto"/>
        <w:ind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在竞争性磋商采购中，出现下列情况之一的，本次采购活动终止：</w:t>
      </w:r>
    </w:p>
    <w:p>
      <w:pPr>
        <w:tabs>
          <w:tab w:val="right" w:pos="180"/>
          <w:tab w:val="left" w:pos="570"/>
          <w:tab w:val="left" w:pos="945"/>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1.因情况变化，不再符合规定的竞争性磋商采购方式适用情形的；</w:t>
      </w:r>
    </w:p>
    <w:p>
      <w:pPr>
        <w:tabs>
          <w:tab w:val="left" w:pos="570"/>
          <w:tab w:val="left" w:pos="945"/>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2.出现影响采购公正的违法、违规行为的；</w:t>
      </w:r>
    </w:p>
    <w:p>
      <w:pPr>
        <w:tabs>
          <w:tab w:val="left" w:pos="570"/>
          <w:tab w:val="left" w:pos="945"/>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除《政府采购竞争性磋商采购方式管理暂行办法》第二十一条第三款和《财政部关于政府采购竞争性磋商采购方式管理暂行办法有关问题的补充通知》规定的情形外，在采购过程中符合要求的供应商或者报价未超过采购预算的供应商数量不符合法律法规要求的；</w:t>
      </w:r>
    </w:p>
    <w:p>
      <w:pPr>
        <w:tabs>
          <w:tab w:val="left" w:pos="570"/>
          <w:tab w:val="left" w:pos="945"/>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4.在采购活动中因重大变故，采购任务取消的。</w:t>
      </w:r>
    </w:p>
    <w:p>
      <w:pPr>
        <w:spacing w:line="360" w:lineRule="auto"/>
        <w:rPr>
          <w:rFonts w:hint="eastAsia" w:ascii="宋体" w:hAnsi="宋体" w:eastAsia="宋体" w:cs="宋体"/>
          <w:highlight w:val="none"/>
        </w:rPr>
      </w:pPr>
      <w:r>
        <w:rPr>
          <w:rFonts w:hint="eastAsia" w:ascii="宋体" w:hAnsi="宋体" w:eastAsia="宋体" w:cs="宋体"/>
          <w:b/>
          <w:bCs/>
          <w:sz w:val="24"/>
          <w:szCs w:val="24"/>
          <w:highlight w:val="none"/>
        </w:rPr>
        <w:t>十一、签订、履行合同</w:t>
      </w:r>
    </w:p>
    <w:p>
      <w:pPr>
        <w:tabs>
          <w:tab w:val="left" w:pos="525"/>
          <w:tab w:val="left" w:pos="552"/>
          <w:tab w:val="left" w:pos="945"/>
          <w:tab w:val="left" w:pos="1050"/>
        </w:tabs>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sz w:val="24"/>
          <w:szCs w:val="24"/>
          <w:highlight w:val="none"/>
        </w:rPr>
        <w:t>1.采购人应当自成交通知书发出之日起三十日内，按照采购文件和成交供应商响应文件的约定，与成交供应商签订书面合同。所</w:t>
      </w:r>
      <w:r>
        <w:rPr>
          <w:rFonts w:hint="eastAsia" w:ascii="宋体" w:hAnsi="宋体" w:eastAsia="宋体" w:cs="宋体"/>
          <w:bCs/>
          <w:color w:val="000000" w:themeColor="text1"/>
          <w:sz w:val="24"/>
          <w:szCs w:val="24"/>
          <w:highlight w:val="none"/>
        </w:rPr>
        <w:t>签订的合同不得对采购文件和</w:t>
      </w:r>
      <w:r>
        <w:rPr>
          <w:rFonts w:hint="eastAsia" w:ascii="宋体" w:hAnsi="宋体" w:eastAsia="宋体" w:cs="宋体"/>
          <w:bCs/>
          <w:sz w:val="24"/>
          <w:szCs w:val="24"/>
          <w:highlight w:val="none"/>
        </w:rPr>
        <w:t>成交</w:t>
      </w:r>
      <w:r>
        <w:rPr>
          <w:rFonts w:hint="eastAsia" w:ascii="宋体" w:hAnsi="宋体" w:eastAsia="宋体" w:cs="宋体"/>
          <w:bCs/>
          <w:color w:val="000000" w:themeColor="text1"/>
          <w:sz w:val="24"/>
          <w:szCs w:val="24"/>
          <w:highlight w:val="none"/>
        </w:rPr>
        <w:t>供应商响应文件作实质性修改。采购人不得向</w:t>
      </w:r>
      <w:r>
        <w:rPr>
          <w:rFonts w:hint="eastAsia" w:ascii="宋体" w:hAnsi="宋体" w:eastAsia="宋体" w:cs="宋体"/>
          <w:bCs/>
          <w:sz w:val="24"/>
          <w:szCs w:val="24"/>
          <w:highlight w:val="none"/>
        </w:rPr>
        <w:t>成交</w:t>
      </w:r>
      <w:r>
        <w:rPr>
          <w:rFonts w:hint="eastAsia" w:ascii="宋体" w:hAnsi="宋体" w:eastAsia="宋体" w:cs="宋体"/>
          <w:bCs/>
          <w:color w:val="000000" w:themeColor="text1"/>
          <w:sz w:val="24"/>
          <w:szCs w:val="24"/>
          <w:highlight w:val="none"/>
        </w:rPr>
        <w:t>供应商提出任何不合理的要求，作为签订合同的条件，不得与</w:t>
      </w:r>
      <w:r>
        <w:rPr>
          <w:rFonts w:hint="eastAsia" w:ascii="宋体" w:hAnsi="宋体" w:eastAsia="宋体" w:cs="宋体"/>
          <w:bCs/>
          <w:sz w:val="24"/>
          <w:szCs w:val="24"/>
          <w:highlight w:val="none"/>
        </w:rPr>
        <w:t>成交</w:t>
      </w:r>
      <w:r>
        <w:rPr>
          <w:rFonts w:hint="eastAsia" w:ascii="宋体" w:hAnsi="宋体" w:eastAsia="宋体" w:cs="宋体"/>
          <w:bCs/>
          <w:color w:val="000000" w:themeColor="text1"/>
          <w:sz w:val="24"/>
          <w:szCs w:val="24"/>
          <w:highlight w:val="none"/>
        </w:rPr>
        <w:t>供应商私下订立背离合同实质性内容的协议。合同须在江苏仁禾中衡工程咨询房地产估价有限公司备案。</w:t>
      </w:r>
    </w:p>
    <w:p>
      <w:pPr>
        <w:tabs>
          <w:tab w:val="left" w:pos="525"/>
          <w:tab w:val="left" w:pos="552"/>
          <w:tab w:val="left" w:pos="945"/>
          <w:tab w:val="left" w:pos="1050"/>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2.成交供应商</w:t>
      </w:r>
      <w:r>
        <w:rPr>
          <w:rFonts w:hint="eastAsia" w:ascii="宋体" w:hAnsi="宋体" w:eastAsia="宋体" w:cs="宋体"/>
          <w:bCs/>
          <w:color w:val="000000" w:themeColor="text1"/>
          <w:sz w:val="24"/>
          <w:szCs w:val="24"/>
          <w:highlight w:val="none"/>
        </w:rPr>
        <w:t>非因不可抗力未履行采购文件、响应文件和合同规定的义务，一经查实，</w:t>
      </w:r>
      <w:r>
        <w:rPr>
          <w:rFonts w:hint="eastAsia" w:ascii="宋体" w:hAnsi="宋体" w:eastAsia="宋体" w:cs="宋体"/>
          <w:sz w:val="24"/>
          <w:highlight w:val="none"/>
        </w:rPr>
        <w:t>采购代理机构</w:t>
      </w:r>
      <w:r>
        <w:rPr>
          <w:rFonts w:hint="eastAsia" w:ascii="宋体" w:hAnsi="宋体" w:eastAsia="宋体" w:cs="宋体"/>
          <w:bCs/>
          <w:color w:val="000000" w:themeColor="text1"/>
          <w:sz w:val="24"/>
          <w:szCs w:val="24"/>
          <w:highlight w:val="none"/>
        </w:rPr>
        <w:t>将根据具体情况提</w:t>
      </w:r>
      <w:r>
        <w:rPr>
          <w:rFonts w:hint="eastAsia" w:ascii="宋体" w:hAnsi="宋体" w:eastAsia="宋体" w:cs="宋体"/>
          <w:bCs/>
          <w:sz w:val="24"/>
          <w:szCs w:val="24"/>
          <w:highlight w:val="none"/>
        </w:rPr>
        <w:t>请政府采购管理部门作出相应处理。</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十二、注意事项</w:t>
      </w:r>
    </w:p>
    <w:p>
      <w:pPr>
        <w:tabs>
          <w:tab w:val="left" w:pos="945"/>
          <w:tab w:val="left" w:pos="105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成交供应商有下列情形之一的，</w:t>
      </w:r>
      <w:r>
        <w:rPr>
          <w:rFonts w:hint="eastAsia" w:ascii="宋体" w:hAnsi="宋体" w:eastAsia="宋体" w:cs="宋体"/>
          <w:color w:val="000000"/>
          <w:sz w:val="24"/>
          <w:szCs w:val="24"/>
          <w:highlight w:val="none"/>
        </w:rPr>
        <w:t>必须限期改正，情节严重的，列入不良行为记录名单，在1至3年内禁止参加政府采购活动，并予以通报：</w:t>
      </w:r>
    </w:p>
    <w:p>
      <w:pPr>
        <w:tabs>
          <w:tab w:val="left" w:pos="315"/>
          <w:tab w:val="left" w:pos="735"/>
          <w:tab w:val="left" w:pos="1155"/>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1.未按照采购文件确定的事项签订政府采购合同，或者与采购人另行订立背离合同实质性内容的协议的；</w:t>
      </w:r>
    </w:p>
    <w:p>
      <w:pPr>
        <w:tabs>
          <w:tab w:val="left" w:pos="315"/>
          <w:tab w:val="left" w:pos="735"/>
          <w:tab w:val="left" w:pos="1155"/>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2.成交后无正当理由不与采购人签订合同的；</w:t>
      </w:r>
    </w:p>
    <w:p>
      <w:pPr>
        <w:tabs>
          <w:tab w:val="left" w:pos="315"/>
          <w:tab w:val="left" w:pos="735"/>
          <w:tab w:val="left" w:pos="1155"/>
        </w:tabs>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bCs/>
          <w:color w:val="000000"/>
          <w:sz w:val="24"/>
          <w:szCs w:val="24"/>
          <w:highlight w:val="none"/>
        </w:rPr>
        <w:t>拒绝履行合同义务的。</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十三、成交服务费</w:t>
      </w:r>
    </w:p>
    <w:p>
      <w:pPr>
        <w:spacing w:line="360" w:lineRule="auto"/>
        <w:ind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1、采购代理服务费收费标准为：</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sz w:val="24"/>
          <w:szCs w:val="24"/>
          <w:highlight w:val="none"/>
        </w:rPr>
        <w:t>采购代理服务费用基数参照“苏招协[2022]002号”收费标准按差额定率累进法计算，标准如下：</w:t>
      </w:r>
    </w:p>
    <w:tbl>
      <w:tblPr>
        <w:tblStyle w:val="31"/>
        <w:tblW w:w="6004" w:type="dxa"/>
        <w:jc w:val="center"/>
        <w:tblLayout w:type="autofit"/>
        <w:tblCellMar>
          <w:top w:w="0" w:type="dxa"/>
          <w:left w:w="108" w:type="dxa"/>
          <w:bottom w:w="0" w:type="dxa"/>
          <w:right w:w="108" w:type="dxa"/>
        </w:tblCellMar>
      </w:tblPr>
      <w:tblGrid>
        <w:gridCol w:w="4698"/>
        <w:gridCol w:w="1306"/>
      </w:tblGrid>
      <w:tr>
        <w:tblPrEx>
          <w:tblCellMar>
            <w:top w:w="0" w:type="dxa"/>
            <w:left w:w="108" w:type="dxa"/>
            <w:bottom w:w="0" w:type="dxa"/>
            <w:right w:w="108" w:type="dxa"/>
          </w:tblCellMar>
        </w:tblPrEx>
        <w:trPr>
          <w:trHeight w:val="420" w:hRule="atLeast"/>
          <w:jc w:val="center"/>
        </w:trPr>
        <w:tc>
          <w:tcPr>
            <w:tcW w:w="469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中标金额</w:t>
            </w:r>
          </w:p>
        </w:tc>
        <w:tc>
          <w:tcPr>
            <w:tcW w:w="130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服务招标</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50万元以下（含50万元）</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1万元</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50万元-400万元（含400万元）</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1.50%</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400-1000万元（含1000万元）</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0.90%</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1000-5000万元（含5000万元）</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0.45%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5000万元-1亿元（含1亿元）</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0.15%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1-10亿元（含10亿元）</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0.05%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10-50亿元（含50亿元）</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0.01%</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50亿元以上</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0.005%</w:t>
            </w:r>
          </w:p>
        </w:tc>
      </w:tr>
    </w:tbl>
    <w:p>
      <w:pPr>
        <w:spacing w:line="360" w:lineRule="auto"/>
        <w:ind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（2）招标代理服务费=按上述标准计算金额×中标折扣率（64.5%）。</w:t>
      </w:r>
    </w:p>
    <w:p>
      <w:pPr>
        <w:tabs>
          <w:tab w:val="left" w:pos="525"/>
          <w:tab w:val="left" w:pos="552"/>
          <w:tab w:val="left" w:pos="945"/>
          <w:tab w:val="left" w:pos="1050"/>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（3）最低收费金额为5000元，按上述标准计算乘以中标折扣率后的服务费不足5000元的按5000元计算。</w:t>
      </w:r>
    </w:p>
    <w:p>
      <w:pPr>
        <w:tabs>
          <w:tab w:val="left" w:pos="510"/>
          <w:tab w:val="left" w:pos="735"/>
          <w:tab w:val="left" w:pos="945"/>
          <w:tab w:val="left" w:pos="1129"/>
          <w:tab w:val="left" w:pos="1155"/>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2.成交供应商领取成交通知书时须向江苏仁禾中衡工程咨询房地产估价有限公司缴纳采购代理服务费。</w:t>
      </w:r>
    </w:p>
    <w:p>
      <w:pPr>
        <w:tabs>
          <w:tab w:val="left" w:pos="510"/>
          <w:tab w:val="left" w:pos="735"/>
          <w:tab w:val="left" w:pos="945"/>
          <w:tab w:val="left" w:pos="1129"/>
          <w:tab w:val="left" w:pos="1155"/>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3.公司账户信息</w:t>
      </w:r>
    </w:p>
    <w:p>
      <w:pPr>
        <w:tabs>
          <w:tab w:val="left" w:pos="510"/>
          <w:tab w:val="left" w:pos="735"/>
          <w:tab w:val="left" w:pos="945"/>
          <w:tab w:val="left" w:pos="1129"/>
          <w:tab w:val="left" w:pos="1155"/>
        </w:tabs>
        <w:spacing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单位名称：江苏仁禾中衡工程咨询房地产估价有限公司常州分公司 </w:t>
      </w:r>
    </w:p>
    <w:p>
      <w:pPr>
        <w:tabs>
          <w:tab w:val="left" w:pos="510"/>
          <w:tab w:val="left" w:pos="735"/>
          <w:tab w:val="left" w:pos="945"/>
          <w:tab w:val="left" w:pos="1129"/>
          <w:tab w:val="left" w:pos="1155"/>
        </w:tabs>
        <w:spacing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账  号：13159000000248927</w:t>
      </w:r>
    </w:p>
    <w:p>
      <w:pPr>
        <w:tabs>
          <w:tab w:val="left" w:pos="510"/>
          <w:tab w:val="left" w:pos="735"/>
          <w:tab w:val="left" w:pos="945"/>
          <w:tab w:val="left" w:pos="1129"/>
          <w:tab w:val="left" w:pos="1155"/>
        </w:tabs>
        <w:spacing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开户行：华夏银行股份有限公司常州中吴支行</w:t>
      </w:r>
    </w:p>
    <w:p>
      <w:pPr>
        <w:tabs>
          <w:tab w:val="left" w:pos="510"/>
          <w:tab w:val="left" w:pos="735"/>
          <w:tab w:val="left" w:pos="945"/>
          <w:tab w:val="left" w:pos="1129"/>
          <w:tab w:val="left" w:pos="1155"/>
        </w:tabs>
        <w:spacing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br w:type="page"/>
      </w:r>
    </w:p>
    <w:p>
      <w:pPr>
        <w:pStyle w:val="121"/>
        <w:rPr>
          <w:rFonts w:hint="eastAsia" w:ascii="宋体" w:hAnsi="宋体" w:eastAsia="宋体" w:cs="宋体"/>
          <w:sz w:val="24"/>
          <w:szCs w:val="24"/>
          <w:highlight w:val="none"/>
        </w:rPr>
      </w:pPr>
      <w:bookmarkStart w:id="46" w:name="_Toc92976617"/>
      <w:bookmarkStart w:id="47" w:name="_Toc55147047"/>
      <w:r>
        <w:rPr>
          <w:rFonts w:hint="eastAsia" w:ascii="宋体" w:hAnsi="宋体" w:eastAsia="宋体" w:cs="宋体"/>
          <w:highlight w:val="none"/>
        </w:rPr>
        <w:t>三．项目技术要求和有关说明</w:t>
      </w:r>
      <w:bookmarkEnd w:id="46"/>
      <w:bookmarkEnd w:id="47"/>
    </w:p>
    <w:p>
      <w:pPr>
        <w:tabs>
          <w:tab w:val="left" w:pos="525"/>
          <w:tab w:val="left" w:pos="552"/>
          <w:tab w:val="left" w:pos="945"/>
          <w:tab w:val="left" w:pos="1050"/>
        </w:tabs>
        <w:spacing w:line="360" w:lineRule="auto"/>
        <w:ind w:firstLine="480" w:firstLineChars="200"/>
        <w:rPr>
          <w:rFonts w:hint="eastAsia" w:ascii="宋体" w:hAnsi="宋体" w:eastAsia="宋体" w:cs="宋体"/>
          <w:b/>
          <w:sz w:val="24"/>
          <w:szCs w:val="24"/>
          <w:highlight w:val="none"/>
        </w:rPr>
      </w:pPr>
      <w:bookmarkStart w:id="48" w:name="_Toc55147048"/>
      <w:bookmarkStart w:id="49" w:name="_Toc63173552"/>
      <w:bookmarkStart w:id="50" w:name="_Toc92976618"/>
      <w:bookmarkStart w:id="51" w:name="_Toc55147050"/>
      <w:r>
        <w:rPr>
          <w:rFonts w:hint="eastAsia" w:ascii="宋体" w:hAnsi="宋体" w:eastAsia="宋体" w:cs="宋体"/>
          <w:b/>
          <w:sz w:val="24"/>
          <w:szCs w:val="24"/>
          <w:highlight w:val="none"/>
        </w:rPr>
        <w:t>一、项目概况</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根据“省交通运输厅关于印发《江苏省公路交通情况调查站点布局规划方案（2020—2035 年）的通知》”（苏交计〔2021〕3号）要求，对常州市普通国省道上已建站点、在建及规划站点进行布局优化；对常州市农村公路县道进行交通情况调查站点布局规划方案研究。</w:t>
      </w:r>
    </w:p>
    <w:p>
      <w:pPr>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二、研究内容</w:t>
      </w:r>
    </w:p>
    <w:p>
      <w:pPr>
        <w:tabs>
          <w:tab w:val="left" w:pos="525"/>
          <w:tab w:val="left" w:pos="552"/>
          <w:tab w:val="left" w:pos="945"/>
          <w:tab w:val="left" w:pos="105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开展调研工作。一方面，对常州市普通国省道上已建站点（30个一类交调站点、49个车检站点）的实际应用效果进行调研与评估；另一方面，对常州市农村公路县道（里程共计1538公里）进行调研，包括县道公路网、县道流量分布情况、各县道重要节点与路段、县道已有监测设施调研等内容。</w:t>
      </w:r>
    </w:p>
    <w:p>
      <w:pPr>
        <w:tabs>
          <w:tab w:val="left" w:pos="525"/>
          <w:tab w:val="left" w:pos="552"/>
          <w:tab w:val="left" w:pos="945"/>
          <w:tab w:val="left" w:pos="105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（2）开展需求分析。在调研的基础上，提出常州市普通国省道、县道公路交通情况调查站点的建设需求。</w:t>
      </w:r>
    </w:p>
    <w:p>
      <w:pPr>
        <w:tabs>
          <w:tab w:val="left" w:pos="525"/>
          <w:tab w:val="left" w:pos="552"/>
          <w:tab w:val="left" w:pos="945"/>
          <w:tab w:val="left" w:pos="105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（3）根据《江苏省公路交通情况调查站点布局规划方案（2020—2035 年）》，落实部、省级对干线公路交通情况调查站点布设的工作要求，优化普通国省干线交通情况调查站点布局，同时因地制宜逐步提升农村公路县道交调采集能力。至2035年，全市每条县道（二级公路以上）至少布设1个一类交调站点。</w:t>
      </w:r>
    </w:p>
    <w:p>
      <w:pPr>
        <w:tabs>
          <w:tab w:val="left" w:pos="525"/>
          <w:tab w:val="left" w:pos="552"/>
          <w:tab w:val="left" w:pos="945"/>
          <w:tab w:val="left" w:pos="105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开展县道布局原则与布局方法研究。结合《江苏省普通国省干线公路网运行监测设施建设实施方案》、《江苏省普通公路网运行监测设施布局规划研究》等文件，同时，结合常州市县道的交通情况调查需求，提出常州市县道的布局规划原则和方法。</w:t>
      </w:r>
    </w:p>
    <w:p>
      <w:pPr>
        <w:tabs>
          <w:tab w:val="left" w:pos="525"/>
          <w:tab w:val="left" w:pos="552"/>
          <w:tab w:val="left" w:pos="945"/>
          <w:tab w:val="left" w:pos="105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（5）编制布局规划方案。研究确定常州市普通国省道交调情况调查站点的优化方案，确定常州市县道交通情况调查站点的布局规划方案。</w:t>
      </w:r>
    </w:p>
    <w:p>
      <w:pPr>
        <w:tabs>
          <w:tab w:val="left" w:pos="525"/>
          <w:tab w:val="left" w:pos="552"/>
          <w:tab w:val="left" w:pos="945"/>
          <w:tab w:val="left" w:pos="105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（6）根据确定的布局规划方案，出具规划站点明细，绘制规划图册。</w:t>
      </w:r>
    </w:p>
    <w:p>
      <w:pPr>
        <w:tabs>
          <w:tab w:val="left" w:pos="525"/>
          <w:tab w:val="left" w:pos="552"/>
          <w:tab w:val="left" w:pos="945"/>
          <w:tab w:val="left" w:pos="1050"/>
        </w:tabs>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三、报价说明</w:t>
      </w:r>
    </w:p>
    <w:p>
      <w:pPr>
        <w:tabs>
          <w:tab w:val="left" w:pos="525"/>
          <w:tab w:val="left" w:pos="552"/>
          <w:tab w:val="left" w:pos="945"/>
          <w:tab w:val="left" w:pos="1050"/>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包括但不限于人工、保险、劳保、管理、设备、耗材、驻场费、税费、培训、后期维护及为完成整个项目所产生的其它所有费用，以及政策性文件规定及合同包含的所有风险、责任等各项应有费用。采购文件未列明，而响应供应商认为其他必需的费用也需列入报价。在合同实施时，采购单位将不予支付成交供应商没有填列的项目费用，并认为此项目的费用已包括在合同价格中。最后报价一次报定，不得更改，亦不接受选择性报价。</w:t>
      </w:r>
    </w:p>
    <w:p>
      <w:pPr>
        <w:tabs>
          <w:tab w:val="left" w:pos="525"/>
          <w:tab w:val="left" w:pos="552"/>
          <w:tab w:val="left" w:pos="945"/>
          <w:tab w:val="left" w:pos="1050"/>
        </w:tabs>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四、合同履行期限</w:t>
      </w:r>
    </w:p>
    <w:p>
      <w:pPr>
        <w:tabs>
          <w:tab w:val="left" w:pos="525"/>
          <w:tab w:val="left" w:pos="552"/>
          <w:tab w:val="left" w:pos="945"/>
          <w:tab w:val="left" w:pos="1050"/>
        </w:tabs>
        <w:spacing w:line="360" w:lineRule="auto"/>
        <w:ind w:firstLine="488"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 xml:space="preserve">自合同签订之日起至2023年3月。 </w:t>
      </w:r>
    </w:p>
    <w:p>
      <w:pPr>
        <w:tabs>
          <w:tab w:val="left" w:pos="525"/>
          <w:tab w:val="left" w:pos="552"/>
          <w:tab w:val="left" w:pos="945"/>
          <w:tab w:val="left" w:pos="1050"/>
        </w:tabs>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五、付款方式</w:t>
      </w:r>
    </w:p>
    <w:p>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 15日内，甲方预付合同金额的30%；项目结束经验收合格后15日内结清余款（不计利息）。</w:t>
      </w:r>
    </w:p>
    <w:p>
      <w:pPr>
        <w:rPr>
          <w:rFonts w:hint="eastAsia" w:ascii="宋体" w:hAnsi="宋体" w:eastAsia="宋体" w:cs="宋体"/>
          <w:highlight w:val="none"/>
        </w:rPr>
      </w:pPr>
      <w:r>
        <w:rPr>
          <w:rFonts w:hint="eastAsia" w:ascii="宋体" w:hAnsi="宋体" w:eastAsia="宋体" w:cs="宋体"/>
          <w:highlight w:val="none"/>
        </w:rPr>
        <w:br w:type="page"/>
      </w:r>
    </w:p>
    <w:p>
      <w:pPr>
        <w:pStyle w:val="121"/>
        <w:rPr>
          <w:rFonts w:hint="eastAsia" w:ascii="宋体" w:hAnsi="宋体" w:eastAsia="宋体" w:cs="宋体"/>
          <w:highlight w:val="none"/>
        </w:rPr>
      </w:pPr>
      <w:r>
        <w:rPr>
          <w:rFonts w:hint="eastAsia" w:ascii="宋体" w:hAnsi="宋体" w:eastAsia="宋体" w:cs="宋体"/>
          <w:bCs w:val="0"/>
          <w:highlight w:val="none"/>
        </w:rPr>
        <w:t>四．</w:t>
      </w:r>
      <w:bookmarkEnd w:id="48"/>
      <w:r>
        <w:rPr>
          <w:rFonts w:hint="eastAsia" w:ascii="宋体" w:hAnsi="宋体" w:eastAsia="宋体" w:cs="宋体"/>
          <w:bCs w:val="0"/>
          <w:highlight w:val="none"/>
        </w:rPr>
        <w:t>合同条款及格式</w:t>
      </w:r>
      <w:bookmarkEnd w:id="49"/>
      <w:bookmarkEnd w:id="50"/>
    </w:p>
    <w:p>
      <w:pPr>
        <w:autoSpaceDE w:val="0"/>
        <w:autoSpaceDN w:val="0"/>
        <w:spacing w:line="360" w:lineRule="auto"/>
        <w:jc w:val="center"/>
        <w:rPr>
          <w:rFonts w:ascii="宋体" w:hAnsi="宋体" w:eastAsia="宋体" w:cs="Times New Roman"/>
          <w:b/>
          <w:sz w:val="24"/>
          <w:szCs w:val="24"/>
        </w:rPr>
      </w:pPr>
      <w:r>
        <w:rPr>
          <w:rFonts w:hint="eastAsia" w:ascii="宋体" w:hAnsi="宋体" w:eastAsia="宋体" w:cs="Times New Roman"/>
          <w:b/>
          <w:sz w:val="32"/>
          <w:szCs w:val="32"/>
        </w:rPr>
        <w:t>合同协议书</w:t>
      </w:r>
    </w:p>
    <w:p>
      <w:pPr>
        <w:autoSpaceDE w:val="0"/>
        <w:autoSpaceDN w:val="0"/>
        <w:spacing w:line="360" w:lineRule="auto"/>
        <w:ind w:left="420"/>
        <w:jc w:val="center"/>
        <w:rPr>
          <w:rFonts w:ascii="宋体" w:hAnsi="宋体" w:eastAsia="宋体" w:cs="Times New Roman"/>
          <w:b/>
          <w:sz w:val="24"/>
          <w:szCs w:val="24"/>
        </w:rPr>
      </w:pPr>
    </w:p>
    <w:p>
      <w:pPr>
        <w:tabs>
          <w:tab w:val="left" w:pos="1260"/>
        </w:tabs>
        <w:spacing w:line="360" w:lineRule="auto"/>
        <w:ind w:firstLine="420" w:firstLineChars="200"/>
        <w:rPr>
          <w:rFonts w:ascii="宋体" w:hAnsi="宋体" w:eastAsia="宋体" w:cs="Times New Roman"/>
          <w:szCs w:val="21"/>
        </w:rPr>
      </w:pPr>
      <w:r>
        <w:rPr>
          <w:rFonts w:hint="eastAsia" w:ascii="宋体" w:hAnsi="宋体" w:eastAsia="宋体" w:cs="Times New Roman"/>
          <w:szCs w:val="24"/>
        </w:rPr>
        <w:t>鉴于采购人拟开展</w:t>
      </w:r>
      <w:r>
        <w:rPr>
          <w:rFonts w:hint="eastAsia" w:ascii="宋体" w:hAnsi="宋体" w:eastAsia="宋体" w:cs="Times New Roman"/>
          <w:szCs w:val="24"/>
          <w:u w:val="single"/>
        </w:rPr>
        <w:t xml:space="preserve">常州市普通国省道、县道公路交通情况调查站点布局方案研究项目 </w:t>
      </w:r>
      <w:r>
        <w:rPr>
          <w:rFonts w:hint="eastAsia" w:ascii="宋体" w:hAnsi="宋体" w:eastAsia="宋体" w:cs="Times New Roman"/>
          <w:szCs w:val="24"/>
        </w:rPr>
        <w:t>工作，并接受了供应商对该项目的响应文件，现由</w:t>
      </w:r>
      <w:r>
        <w:rPr>
          <w:rFonts w:hint="eastAsia" w:ascii="宋体" w:hAnsi="宋体" w:eastAsia="宋体" w:cs="Times New Roman"/>
          <w:szCs w:val="24"/>
          <w:u w:val="single"/>
        </w:rPr>
        <w:t>常州市公路事业发展中心</w:t>
      </w:r>
      <w:r>
        <w:rPr>
          <w:rFonts w:hint="eastAsia" w:ascii="宋体" w:hAnsi="宋体" w:eastAsia="宋体" w:cs="Times New Roman"/>
          <w:szCs w:val="24"/>
        </w:rPr>
        <w:t>（下称“采购人”）为一方和</w:t>
      </w:r>
      <w:r>
        <w:rPr>
          <w:rFonts w:hint="eastAsia" w:ascii="宋体" w:hAnsi="宋体" w:eastAsia="宋体" w:cs="Times New Roman"/>
          <w:szCs w:val="24"/>
          <w:u w:val="single"/>
        </w:rPr>
        <w:t xml:space="preserve">     （</w:t>
      </w:r>
      <w:r>
        <w:rPr>
          <w:rFonts w:hint="eastAsia" w:ascii="宋体" w:hAnsi="宋体" w:eastAsia="宋体" w:cs="Times New Roman"/>
          <w:szCs w:val="24"/>
        </w:rPr>
        <w:t>下称“供应商”）为另一方于2023年</w:t>
      </w:r>
      <w:r>
        <w:rPr>
          <w:rFonts w:hint="eastAsia" w:ascii="宋体" w:hAnsi="宋体" w:eastAsia="宋体" w:cs="Times New Roman"/>
          <w:szCs w:val="24"/>
          <w:u w:val="single"/>
        </w:rPr>
        <w:t xml:space="preserve">     </w:t>
      </w:r>
      <w:r>
        <w:rPr>
          <w:rFonts w:hint="eastAsia" w:ascii="宋体" w:hAnsi="宋体" w:eastAsia="宋体" w:cs="Times New Roman"/>
          <w:szCs w:val="24"/>
        </w:rPr>
        <w:t>月</w:t>
      </w:r>
      <w:r>
        <w:rPr>
          <w:rFonts w:hint="eastAsia" w:ascii="宋体" w:hAnsi="宋体" w:eastAsia="宋体" w:cs="Times New Roman"/>
          <w:szCs w:val="24"/>
          <w:u w:val="single"/>
        </w:rPr>
        <w:t xml:space="preserve">     </w:t>
      </w:r>
      <w:r>
        <w:rPr>
          <w:rFonts w:hint="eastAsia" w:ascii="宋体" w:hAnsi="宋体" w:eastAsia="宋体" w:cs="Times New Roman"/>
          <w:szCs w:val="24"/>
        </w:rPr>
        <w:t>日共同签订本协议如下：</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一、项目概况及内容</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根据“省交通运输厅关于印发《江苏省公路交通情况调查站点布局规划方案（2020—2035 年）的通知》”（苏交计〔2021〕3号）要求，对常州市普通国省道上已建站点、在建及规划站点进行布局优化；对常州市</w:t>
      </w:r>
      <w:r>
        <w:rPr>
          <w:rFonts w:ascii="宋体" w:hAnsi="宋体" w:eastAsia="宋体" w:cs="Times New Roman"/>
          <w:szCs w:val="24"/>
        </w:rPr>
        <w:t>农村公路县道</w:t>
      </w:r>
      <w:r>
        <w:rPr>
          <w:rFonts w:hint="eastAsia" w:ascii="宋体" w:hAnsi="宋体" w:eastAsia="宋体" w:cs="Times New Roman"/>
          <w:szCs w:val="24"/>
        </w:rPr>
        <w:t>进行交通情况调查站点布局规划方案研究。</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计划服务期：自合同签订之日起至2023年3月。</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二、下列文件应作为本合同的组成部分</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⑴</w:t>
      </w:r>
      <w:r>
        <w:rPr>
          <w:rFonts w:ascii="宋体" w:hAnsi="宋体" w:eastAsia="宋体" w:cs="Times New Roman"/>
          <w:szCs w:val="24"/>
        </w:rPr>
        <w:t xml:space="preserve"> 本合同协议书及附件（含合同谈判中澄清文件）；</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⑵</w:t>
      </w:r>
      <w:r>
        <w:rPr>
          <w:rFonts w:ascii="宋体" w:hAnsi="宋体" w:eastAsia="宋体" w:cs="Times New Roman"/>
          <w:szCs w:val="24"/>
        </w:rPr>
        <w:t xml:space="preserve"> 成交通知书；</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⑶ 磋商</w:t>
      </w:r>
      <w:r>
        <w:rPr>
          <w:rFonts w:ascii="宋体" w:hAnsi="宋体" w:eastAsia="宋体" w:cs="Times New Roman"/>
          <w:szCs w:val="24"/>
        </w:rPr>
        <w:t>响应文件（</w:t>
      </w:r>
      <w:r>
        <w:rPr>
          <w:rFonts w:hint="eastAsia" w:ascii="宋体" w:hAnsi="宋体" w:eastAsia="宋体" w:cs="Times New Roman"/>
          <w:szCs w:val="24"/>
        </w:rPr>
        <w:t>含供应商在磋商期间递交和确认并经采购人同意的对有关问题的补充资料和澄清文件等，如果有</w:t>
      </w:r>
      <w:r>
        <w:rPr>
          <w:rFonts w:ascii="宋体" w:hAnsi="宋体" w:eastAsia="宋体" w:cs="Times New Roman"/>
          <w:szCs w:val="24"/>
        </w:rPr>
        <w:t>）</w:t>
      </w:r>
      <w:r>
        <w:rPr>
          <w:rFonts w:hint="eastAsia" w:ascii="宋体" w:hAnsi="宋体" w:eastAsia="宋体" w:cs="Times New Roman"/>
          <w:szCs w:val="24"/>
        </w:rPr>
        <w:t>；</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⑷</w:t>
      </w:r>
      <w:r>
        <w:rPr>
          <w:rFonts w:ascii="宋体" w:hAnsi="宋体" w:eastAsia="宋体" w:cs="Times New Roman"/>
          <w:szCs w:val="24"/>
        </w:rPr>
        <w:t xml:space="preserve"> 合同条款（含补遗书中与此有关部分，如果有）；</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⑸</w:t>
      </w:r>
      <w:r>
        <w:rPr>
          <w:rFonts w:ascii="宋体" w:hAnsi="宋体" w:eastAsia="宋体" w:cs="Times New Roman"/>
          <w:szCs w:val="24"/>
        </w:rPr>
        <w:t xml:space="preserve"> 投标人须知（含补遗书中与此有关部分，如果有）；</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⑹ 磋商</w:t>
      </w:r>
      <w:r>
        <w:rPr>
          <w:rFonts w:ascii="宋体" w:hAnsi="宋体" w:eastAsia="宋体" w:cs="Times New Roman"/>
          <w:szCs w:val="24"/>
        </w:rPr>
        <w:t>响应文件其它组成部分；</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⑺</w:t>
      </w:r>
      <w:r>
        <w:rPr>
          <w:rFonts w:ascii="宋体" w:hAnsi="宋体" w:eastAsia="宋体" w:cs="Times New Roman"/>
          <w:szCs w:val="24"/>
        </w:rPr>
        <w:t xml:space="preserve"> 构成本合同组成部分的其他文件。</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三、上述文件均指适用于本合同的文件，并将互相补充，若有不明确或不一致之处，以上述顺序在先者为准。</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四、本项目为固定总价合同，本合同中标价为</w:t>
      </w:r>
      <w:r>
        <w:rPr>
          <w:rFonts w:hint="eastAsia" w:ascii="宋体" w:hAnsi="宋体" w:eastAsia="宋体" w:cs="Times New Roman"/>
          <w:szCs w:val="24"/>
          <w:u w:val="single"/>
        </w:rPr>
        <w:t>人民币      元整（¥       ）</w:t>
      </w:r>
      <w:r>
        <w:rPr>
          <w:rFonts w:hint="eastAsia" w:ascii="宋体" w:hAnsi="宋体" w:eastAsia="宋体" w:cs="宋体"/>
          <w:kern w:val="20"/>
          <w:u w:val="single"/>
        </w:rPr>
        <w:t>。</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 xml:space="preserve">五、项目负责人： </w:t>
      </w:r>
    </w:p>
    <w:p>
      <w:pPr>
        <w:spacing w:line="360" w:lineRule="auto"/>
        <w:ind w:firstLine="420" w:firstLineChars="200"/>
        <w:rPr>
          <w:rFonts w:ascii="宋体" w:hAnsi="宋体" w:eastAsia="宋体" w:cs="Times New Roman"/>
          <w:szCs w:val="24"/>
          <w:u w:val="single"/>
        </w:rPr>
      </w:pPr>
      <w:r>
        <w:rPr>
          <w:rFonts w:hint="eastAsia" w:ascii="宋体" w:hAnsi="宋体" w:eastAsia="宋体" w:cs="Times New Roman"/>
          <w:szCs w:val="24"/>
        </w:rPr>
        <w:t>六、作为对本合同工程的实施和完成的报酬，采购人在此立约，保证按照合同文件规定的时间和方式向供应商支付合同价款，支付方式：</w:t>
      </w:r>
      <w:r>
        <w:rPr>
          <w:rFonts w:hint="eastAsia" w:ascii="宋体" w:hAnsi="宋体" w:eastAsia="宋体" w:cs="Times New Roman"/>
          <w:szCs w:val="24"/>
          <w:u w:val="single"/>
        </w:rPr>
        <w:t>合同签订后</w:t>
      </w:r>
      <w:r>
        <w:rPr>
          <w:rFonts w:ascii="宋体" w:hAnsi="宋体" w:eastAsia="宋体" w:cs="Times New Roman"/>
          <w:szCs w:val="24"/>
          <w:u w:val="single"/>
        </w:rPr>
        <w:t xml:space="preserve"> 15</w:t>
      </w:r>
      <w:r>
        <w:rPr>
          <w:rFonts w:hint="eastAsia" w:ascii="宋体" w:hAnsi="宋体" w:eastAsia="宋体" w:cs="Times New Roman"/>
          <w:szCs w:val="24"/>
          <w:u w:val="single"/>
        </w:rPr>
        <w:t>日内，甲方预付合同金额的30</w:t>
      </w:r>
      <w:r>
        <w:rPr>
          <w:rFonts w:ascii="宋体" w:hAnsi="宋体" w:eastAsia="宋体" w:cs="Times New Roman"/>
          <w:szCs w:val="24"/>
          <w:u w:val="single"/>
        </w:rPr>
        <w:t>%</w:t>
      </w:r>
      <w:r>
        <w:rPr>
          <w:rFonts w:hint="eastAsia" w:ascii="宋体" w:hAnsi="宋体" w:eastAsia="宋体" w:cs="Times New Roman"/>
          <w:szCs w:val="24"/>
          <w:u w:val="single"/>
        </w:rPr>
        <w:t>；</w:t>
      </w:r>
      <w:r>
        <w:rPr>
          <w:rFonts w:ascii="宋体" w:hAnsi="宋体" w:eastAsia="宋体" w:cs="Times New Roman"/>
          <w:szCs w:val="24"/>
          <w:u w:val="single"/>
        </w:rPr>
        <w:t>项目结束</w:t>
      </w:r>
      <w:r>
        <w:rPr>
          <w:rFonts w:hint="eastAsia" w:ascii="宋体" w:hAnsi="宋体" w:eastAsia="宋体" w:cs="Times New Roman"/>
          <w:szCs w:val="24"/>
          <w:u w:val="single"/>
        </w:rPr>
        <w:t>经</w:t>
      </w:r>
      <w:r>
        <w:rPr>
          <w:rFonts w:ascii="宋体" w:hAnsi="宋体" w:eastAsia="宋体" w:cs="Times New Roman"/>
          <w:szCs w:val="24"/>
          <w:u w:val="single"/>
        </w:rPr>
        <w:t>验收合格后</w:t>
      </w:r>
      <w:r>
        <w:rPr>
          <w:rFonts w:hint="eastAsia" w:ascii="宋体" w:hAnsi="宋体" w:eastAsia="宋体" w:cs="Times New Roman"/>
          <w:szCs w:val="24"/>
          <w:u w:val="single"/>
        </w:rPr>
        <w:t>15日内结清余款（不计利息）。</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七、双方的责任</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1、采购人责任：</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（1）供应商人员在现场工作期间，采购人应协助解决有关事宜；</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（2）按合同约定如期拨款。</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2、供应商责任：</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（1）根据双方约定，供应商按期向采购人提交全套设计文件贰份；</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（2）严格执行现行的国家、部颁及省市有关标准、规范和规定。</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八、违约责任</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1、采购人违约：</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（1）由于采购人原因提出变更、未按期提供必要的协助或工作条件而造成返工、窝工或修改，采购人应按供应商实际消耗的工作量增付费用。</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（2）超过合同规定的日期付费时，应偿付逾期违约金，按每逾期一天增付相应咨询服务费的0.3‰计算。</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2、供应商违约：</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（1）因设计服务质量低劣引起的工期延误、返工或因供应商原因未按期提供设计服务，由供应商继续完善并视造成损失的大小减收或免收服务费。</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（2）未按合同规定期限提交设计成果，每拖延一天，应向采购人交纳相应设计服务费0.3‰的违约金，并在采购人支付费用时扣减。拖延时间超过30日，采购人有权解除合同，并不支付服务费。</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九、其它</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1、因本合同引起的或与本合同有关的争议，双方协商解决，协商不成的双方同意提交常州仲裁委员会按其仲裁规则仲裁，裁决是终局的，对双方均具有约束力。</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2、经双方同意并签字的有效文件均作为本合同的附件。</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3、本合同双方签字后生效，供应商完成委托工作并提交文件，采购人向供应商结清费用后失效。</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4、因不可抗力影响正常工作时，工期顺延，双方均不承担责任。</w:t>
      </w:r>
    </w:p>
    <w:p>
      <w:pPr>
        <w:tabs>
          <w:tab w:val="left" w:pos="1260"/>
        </w:tabs>
        <w:spacing w:line="360" w:lineRule="auto"/>
        <w:ind w:firstLine="420" w:firstLineChars="200"/>
        <w:rPr>
          <w:rFonts w:ascii="宋体" w:hAnsi="宋体" w:eastAsia="宋体" w:cs="Times New Roman"/>
          <w:szCs w:val="24"/>
        </w:rPr>
      </w:pPr>
      <w:r>
        <w:rPr>
          <w:rFonts w:hint="eastAsia" w:ascii="宋体" w:hAnsi="宋体" w:eastAsia="宋体" w:cs="Times New Roman"/>
          <w:szCs w:val="24"/>
        </w:rPr>
        <w:t>5、本合同正本一式两份，双方各执一份，副本一式四份，双方各执两份。</w:t>
      </w:r>
    </w:p>
    <w:p>
      <w:pPr>
        <w:tabs>
          <w:tab w:val="left" w:pos="1260"/>
        </w:tabs>
        <w:spacing w:line="312" w:lineRule="auto"/>
        <w:rPr>
          <w:rFonts w:ascii="宋体" w:hAnsi="宋体" w:eastAsia="宋体" w:cs="Times New Roman"/>
          <w:szCs w:val="24"/>
        </w:rPr>
      </w:pPr>
    </w:p>
    <w:p>
      <w:pPr>
        <w:tabs>
          <w:tab w:val="left" w:pos="1260"/>
        </w:tabs>
        <w:spacing w:line="312" w:lineRule="auto"/>
        <w:rPr>
          <w:rFonts w:ascii="宋体" w:hAnsi="宋体" w:eastAsia="宋体" w:cs="Times New Roman"/>
          <w:szCs w:val="24"/>
        </w:rPr>
      </w:pPr>
    </w:p>
    <w:p>
      <w:pPr>
        <w:tabs>
          <w:tab w:val="left" w:pos="1260"/>
        </w:tabs>
        <w:spacing w:line="312" w:lineRule="auto"/>
        <w:rPr>
          <w:rFonts w:ascii="宋体" w:hAnsi="宋体" w:eastAsia="宋体" w:cs="Times New Roman"/>
          <w:szCs w:val="24"/>
          <w:u w:val="single"/>
        </w:rPr>
      </w:pPr>
      <w:r>
        <w:rPr>
          <w:rFonts w:hint="eastAsia" w:ascii="宋体" w:hAnsi="宋体" w:eastAsia="宋体" w:cs="Times New Roman"/>
          <w:spacing w:val="-8"/>
          <w:szCs w:val="24"/>
        </w:rPr>
        <w:t>采购人</w:t>
      </w:r>
      <w:r>
        <w:rPr>
          <w:rFonts w:hint="eastAsia" w:ascii="宋体" w:hAnsi="宋体" w:eastAsia="宋体" w:cs="Times New Roman"/>
          <w:szCs w:val="24"/>
        </w:rPr>
        <w:t>：</w:t>
      </w:r>
      <w:r>
        <w:rPr>
          <w:rFonts w:hint="eastAsia" w:ascii="宋体" w:hAnsi="宋体" w:eastAsia="宋体" w:cs="Times New Roman"/>
          <w:szCs w:val="24"/>
          <w:u w:val="single"/>
        </w:rPr>
        <w:t xml:space="preserve">常州市公路事业发展中心（盖章） </w:t>
      </w:r>
      <w:r>
        <w:rPr>
          <w:rFonts w:hint="eastAsia" w:ascii="宋体" w:hAnsi="宋体" w:eastAsia="宋体" w:cs="Times New Roman"/>
          <w:szCs w:val="24"/>
        </w:rPr>
        <w:t xml:space="preserve">         </w:t>
      </w:r>
      <w:r>
        <w:rPr>
          <w:rFonts w:hint="eastAsia" w:ascii="宋体" w:hAnsi="宋体" w:eastAsia="宋体" w:cs="Times New Roman"/>
          <w:spacing w:val="-8"/>
          <w:szCs w:val="24"/>
        </w:rPr>
        <w:t>供应商</w:t>
      </w:r>
      <w:r>
        <w:rPr>
          <w:rFonts w:hint="eastAsia" w:ascii="宋体" w:hAnsi="宋体" w:eastAsia="宋体" w:cs="Times New Roman"/>
          <w:szCs w:val="24"/>
        </w:rPr>
        <w:t>：</w:t>
      </w:r>
      <w:r>
        <w:rPr>
          <w:rFonts w:hint="eastAsia" w:ascii="宋体" w:hAnsi="宋体" w:eastAsia="宋体" w:cs="Times New Roman"/>
          <w:szCs w:val="24"/>
          <w:u w:val="single"/>
        </w:rPr>
        <w:t xml:space="preserve"> （盖章）</w:t>
      </w:r>
    </w:p>
    <w:p>
      <w:pPr>
        <w:tabs>
          <w:tab w:val="left" w:pos="1260"/>
        </w:tabs>
        <w:spacing w:line="312" w:lineRule="auto"/>
        <w:rPr>
          <w:rFonts w:ascii="宋体" w:hAnsi="宋体" w:eastAsia="宋体" w:cs="Times New Roman"/>
          <w:szCs w:val="24"/>
        </w:rPr>
      </w:pPr>
      <w:r>
        <w:rPr>
          <w:rFonts w:hint="eastAsia" w:ascii="宋体" w:hAnsi="宋体" w:eastAsia="宋体" w:cs="Times New Roman"/>
          <w:szCs w:val="24"/>
        </w:rPr>
        <w:t>法定代表人                                      法定代表人</w:t>
      </w:r>
    </w:p>
    <w:p>
      <w:pPr>
        <w:tabs>
          <w:tab w:val="left" w:pos="1260"/>
        </w:tabs>
        <w:spacing w:line="312" w:lineRule="auto"/>
        <w:rPr>
          <w:rFonts w:ascii="宋体" w:hAnsi="宋体" w:eastAsia="宋体" w:cs="Times New Roman"/>
          <w:szCs w:val="24"/>
          <w:u w:val="single"/>
        </w:rPr>
      </w:pPr>
      <w:r>
        <w:rPr>
          <w:rFonts w:hint="eastAsia" w:ascii="宋体" w:hAnsi="宋体" w:eastAsia="宋体" w:cs="Times New Roman"/>
          <w:szCs w:val="24"/>
        </w:rPr>
        <w:t>或其授权的代理人：</w:t>
      </w:r>
      <w:r>
        <w:rPr>
          <w:rFonts w:hint="eastAsia" w:ascii="宋体" w:hAnsi="宋体" w:eastAsia="宋体" w:cs="Times New Roman"/>
          <w:szCs w:val="24"/>
          <w:u w:val="single"/>
        </w:rPr>
        <w:t xml:space="preserve">           （签字） </w:t>
      </w:r>
      <w:r>
        <w:rPr>
          <w:rFonts w:hint="eastAsia" w:ascii="宋体" w:hAnsi="宋体" w:eastAsia="宋体" w:cs="Times New Roman"/>
          <w:szCs w:val="24"/>
        </w:rPr>
        <w:t xml:space="preserve">          或其授权的代理人：</w:t>
      </w:r>
      <w:r>
        <w:rPr>
          <w:rFonts w:hint="eastAsia" w:ascii="宋体" w:hAnsi="宋体" w:eastAsia="宋体" w:cs="Times New Roman"/>
          <w:szCs w:val="24"/>
          <w:u w:val="single"/>
        </w:rPr>
        <w:t xml:space="preserve">             （签字）</w:t>
      </w:r>
    </w:p>
    <w:p>
      <w:pPr>
        <w:tabs>
          <w:tab w:val="left" w:pos="1260"/>
        </w:tabs>
        <w:spacing w:line="312" w:lineRule="auto"/>
        <w:rPr>
          <w:rFonts w:ascii="宋体" w:hAnsi="宋体" w:eastAsia="宋体" w:cs="Times New Roman"/>
          <w:szCs w:val="24"/>
        </w:rPr>
      </w:pPr>
    </w:p>
    <w:p>
      <w:pPr>
        <w:tabs>
          <w:tab w:val="left" w:pos="1260"/>
        </w:tabs>
        <w:spacing w:line="312" w:lineRule="auto"/>
        <w:rPr>
          <w:rFonts w:ascii="宋体" w:hAnsi="宋体" w:eastAsia="宋体" w:cs="Times New Roman"/>
          <w:szCs w:val="24"/>
        </w:rPr>
      </w:pPr>
      <w:r>
        <w:rPr>
          <w:rFonts w:hint="eastAsia" w:ascii="宋体" w:hAnsi="宋体" w:eastAsia="宋体" w:cs="Times New Roman"/>
          <w:szCs w:val="24"/>
        </w:rPr>
        <w:t>日期：    年    月    日                        日期：    年    月    日</w:t>
      </w:r>
    </w:p>
    <w:p>
      <w:pPr>
        <w:rPr>
          <w:rFonts w:ascii="宋体" w:hAnsi="宋体" w:eastAsia="宋体" w:cs="Times New Roman"/>
          <w:szCs w:val="21"/>
        </w:rPr>
      </w:pPr>
      <w:r>
        <w:rPr>
          <w:rFonts w:ascii="宋体" w:hAnsi="宋体" w:eastAsia="宋体" w:cs="Times New Roman"/>
          <w:szCs w:val="21"/>
        </w:rPr>
        <w:br w:type="page"/>
      </w:r>
    </w:p>
    <w:p>
      <w:pPr>
        <w:jc w:val="center"/>
        <w:rPr>
          <w:rFonts w:ascii="宋体" w:hAnsi="宋体" w:eastAsia="宋体" w:cs="Times New Roman"/>
          <w:b/>
          <w:sz w:val="36"/>
          <w:szCs w:val="36"/>
        </w:rPr>
      </w:pPr>
      <w:r>
        <w:rPr>
          <w:rFonts w:hint="eastAsia" w:ascii="宋体" w:hAnsi="宋体" w:eastAsia="宋体" w:cs="Times New Roman"/>
          <w:b/>
          <w:sz w:val="36"/>
          <w:szCs w:val="36"/>
        </w:rPr>
        <w:t>廉政合同</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Times New Roman"/>
          <w:szCs w:val="24"/>
          <w:u w:val="single"/>
        </w:rPr>
        <w:t>常州市普通国省道、县道公路交通情况调查站点布局方案研究项目</w:t>
      </w:r>
      <w:r>
        <w:rPr>
          <w:rFonts w:hint="eastAsia" w:ascii="宋体" w:hAnsi="宋体" w:eastAsia="宋体" w:cs="Times New Roman"/>
          <w:szCs w:val="24"/>
        </w:rPr>
        <w:t>法人</w:t>
      </w:r>
      <w:r>
        <w:rPr>
          <w:rFonts w:hint="eastAsia" w:ascii="宋体" w:hAnsi="宋体" w:eastAsia="宋体" w:cs="Times New Roman"/>
          <w:szCs w:val="24"/>
          <w:u w:val="single"/>
        </w:rPr>
        <w:t>常州市公路事业发展中心</w:t>
      </w:r>
      <w:r>
        <w:rPr>
          <w:rFonts w:hint="eastAsia" w:ascii="宋体" w:hAnsi="宋体" w:eastAsia="宋体" w:cs="Times New Roman"/>
          <w:szCs w:val="24"/>
        </w:rPr>
        <w:t>（以下简称“采购人”）与该项目的承包单位</w:t>
      </w:r>
      <w:r>
        <w:rPr>
          <w:rFonts w:hint="eastAsia" w:ascii="宋体" w:hAnsi="宋体" w:eastAsia="宋体" w:cs="Times New Roman"/>
          <w:szCs w:val="24"/>
          <w:u w:val="single"/>
        </w:rPr>
        <w:t xml:space="preserve">        </w:t>
      </w:r>
      <w:r>
        <w:rPr>
          <w:rFonts w:hint="eastAsia" w:ascii="宋体" w:hAnsi="宋体" w:eastAsia="宋体" w:cs="Times New Roman"/>
          <w:szCs w:val="24"/>
        </w:rPr>
        <w:t>（以下简称“供应商”），特订立如下合同。</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1．采购人和供应商双方的权利和义务</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（1）严格遵守党的政策规定和国家有关法律法规及交通运输部的有关规定。</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（2）严格执行</w:t>
      </w:r>
      <w:r>
        <w:rPr>
          <w:rFonts w:hint="eastAsia" w:ascii="宋体" w:hAnsi="宋体" w:eastAsia="宋体" w:cs="Times New Roman"/>
          <w:szCs w:val="24"/>
          <w:u w:val="single"/>
        </w:rPr>
        <w:t>常州市普通国省道、县道公路交通情况调查站点布局方案研究项目</w:t>
      </w:r>
      <w:r>
        <w:rPr>
          <w:rFonts w:hint="eastAsia" w:ascii="宋体" w:hAnsi="宋体" w:eastAsia="宋体" w:cs="Times New Roman"/>
          <w:szCs w:val="24"/>
        </w:rPr>
        <w:t>合同文件，自觉按合同办事。</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（3）双方的业务活动坚持公开、公正、诚信、透明的原则（法律认定的商业秘密和合同文件另有规定除外），不得损害国家和集体利益，不得违反工程建设管理规章制度。</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（4）建立健全廉政制度，开展廉政教育，设立廉政告示牌，公布举报电话，监督并认真查处违法违纪行为。</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（5）发现对方在业务活动中有违反廉政规定的行为，有及时提醒对方纠正的权利和义务。</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（6）发现对方严重违反本合同义务条款的行为，有向其上级有关部门举报、建议给予处理并要求告知处理结果的权利。</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2．采购人的义务</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（1）采购人及其工作人员不得索要或接受供应商的礼金、有价证券和贵重物品，不得让供应商报销任何应由采购人或采购人工作人员个人支付的费用等。</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（2）采购人工作人员不得参加供应商安排的超标准宴请和娱乐活动；不得接受供应商提供的通讯工具、交通工具和高档办公用品等。</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（3）采购人及其工作人员不利要求或者接受供应商为其住房装修、婚丧嫁娶活动、配偶子女的工作安排以及出国出境、旅游等提供方便等。</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（4）采购人工作人员及其配偶、子女不得从事与采购人工作有关的材料设备供应、工程分包、劳务等经济活动等。</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（5）采购人及期工作人员不得以任何理由向供应商推荐分包单位或推销材料，不得要求供应商购买合同规定外的材料和设备。</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（6）采购人工作人员要秉公办事，不准营私舞弊，不准利用职权从事各种个人有偿中介活动和安排个人施工队伍。</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3．供应商的义务</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（1）供应商不得以任何理由向采购人及其工作人员行贿或馈赠礼金、有价证券、贵重礼品。</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（2）供应商不得以任何名义为采购人及其工作人员报销应由采购人单位或个人支付的任何费用。</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（3）供应商不得以任何理由安排采购人工作人员参加超标准宴请及娱乐活动。</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（4）供应商不得为采购人单位和个人购置或提供通讯工具、交通工具和高档办公用品等。</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4．违约责任</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（1）采购人及其工作人员违反本合同第1、2条，按管理权限，依据有关规定给予党纪、政纪或组织处理；涉嫌犯罪的，移交司法机关追究刑事责任；给供应商单位造成经济损失的，应予以赔偿。</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2）供应商及其工作人员违反本合同第1、3条，按管理权限，依据有关规定给予党纪、政纪或组织处理；给采购人单位造成经济损失的，应予以赔偿；情节严重的，采购人建议交通主管部门给予供应商一至三年内不得进入其主管的公路建设市场的处罚。</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5.双方约定：本合同由双方或双方上级单位的纪检监察部门负责监督执行。由采购人或采购人上级单位的纪检监察部门约请供应商或供应商上级单位纪检监察部门对本合同执行情况进行检查，提出在本合同规定范围内的裁定意见。</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6.本合同有效期为采购人和供应商签署之日起至该工程项目竣工验收后止。</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7．本合同作为S239湟里收费站大棚拆除及路面恢复工程勘察设计项目合同的附件，与工程合同具有同等的法律效力，经合同双方签署后立即生效。</w:t>
      </w:r>
    </w:p>
    <w:p>
      <w:pPr>
        <w:spacing w:line="480" w:lineRule="atLeast"/>
        <w:ind w:firstLine="420" w:firstLineChars="200"/>
        <w:rPr>
          <w:rFonts w:ascii="宋体" w:hAnsi="宋体" w:eastAsia="宋体" w:cs="Times New Roman"/>
          <w:szCs w:val="24"/>
        </w:rPr>
      </w:pPr>
      <w:r>
        <w:rPr>
          <w:rFonts w:hint="eastAsia" w:ascii="宋体" w:hAnsi="宋体" w:eastAsia="宋体" w:cs="Times New Roman"/>
          <w:szCs w:val="24"/>
        </w:rPr>
        <w:t>8．本合同一式四份，由采购人和供应商各执贰份。</w:t>
      </w:r>
    </w:p>
    <w:p>
      <w:pPr>
        <w:spacing w:line="480" w:lineRule="atLeast"/>
        <w:ind w:firstLine="420" w:firstLineChars="200"/>
        <w:rPr>
          <w:rFonts w:ascii="宋体" w:hAnsi="宋体" w:eastAsia="宋体" w:cs="Times New Roman"/>
          <w:szCs w:val="24"/>
        </w:rPr>
      </w:pP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tabs>
          <w:tab w:val="left" w:pos="1260"/>
        </w:tabs>
        <w:spacing w:line="312" w:lineRule="auto"/>
        <w:rPr>
          <w:rFonts w:ascii="宋体" w:hAnsi="宋体" w:eastAsia="宋体" w:cs="Times New Roman"/>
          <w:szCs w:val="24"/>
          <w:u w:val="single"/>
        </w:rPr>
      </w:pPr>
      <w:r>
        <w:rPr>
          <w:rFonts w:hint="eastAsia" w:ascii="宋体" w:hAnsi="宋体" w:eastAsia="宋体" w:cs="Times New Roman"/>
          <w:szCs w:val="24"/>
        </w:rPr>
        <w:t>采购人：</w:t>
      </w:r>
      <w:r>
        <w:rPr>
          <w:rFonts w:hint="eastAsia" w:ascii="宋体" w:hAnsi="宋体" w:eastAsia="宋体" w:cs="Times New Roman"/>
          <w:szCs w:val="24"/>
          <w:u w:val="single"/>
        </w:rPr>
        <w:t xml:space="preserve">常州市公路事业发展中心（盖章）  </w:t>
      </w:r>
      <w:r>
        <w:rPr>
          <w:rFonts w:hint="eastAsia" w:ascii="宋体" w:hAnsi="宋体" w:eastAsia="宋体" w:cs="Times New Roman"/>
          <w:szCs w:val="24"/>
        </w:rPr>
        <w:t xml:space="preserve">     供应商：</w:t>
      </w:r>
      <w:r>
        <w:rPr>
          <w:rFonts w:hint="eastAsia" w:ascii="宋体" w:hAnsi="宋体" w:eastAsia="宋体" w:cs="Times New Roman"/>
          <w:szCs w:val="24"/>
          <w:u w:val="single"/>
        </w:rPr>
        <w:t xml:space="preserve">      （盖章）</w:t>
      </w:r>
    </w:p>
    <w:p>
      <w:pPr>
        <w:tabs>
          <w:tab w:val="left" w:pos="1260"/>
        </w:tabs>
        <w:spacing w:line="312" w:lineRule="auto"/>
        <w:rPr>
          <w:rFonts w:ascii="宋体" w:hAnsi="宋体" w:eastAsia="宋体" w:cs="Times New Roman"/>
          <w:szCs w:val="24"/>
        </w:rPr>
      </w:pPr>
      <w:r>
        <w:rPr>
          <w:rFonts w:hint="eastAsia" w:ascii="宋体" w:hAnsi="宋体" w:eastAsia="宋体" w:cs="Times New Roman"/>
          <w:szCs w:val="24"/>
        </w:rPr>
        <w:t>法定代表人                                   法定代表人</w:t>
      </w:r>
    </w:p>
    <w:p>
      <w:pPr>
        <w:tabs>
          <w:tab w:val="left" w:pos="1260"/>
        </w:tabs>
        <w:spacing w:line="312" w:lineRule="auto"/>
        <w:rPr>
          <w:rFonts w:ascii="宋体" w:hAnsi="宋体" w:eastAsia="宋体" w:cs="Times New Roman"/>
          <w:szCs w:val="24"/>
          <w:u w:val="single"/>
        </w:rPr>
      </w:pPr>
      <w:r>
        <w:rPr>
          <w:rFonts w:hint="eastAsia" w:ascii="宋体" w:hAnsi="宋体" w:eastAsia="宋体" w:cs="Times New Roman"/>
          <w:szCs w:val="24"/>
        </w:rPr>
        <w:t>或其授权的代理人：</w:t>
      </w:r>
      <w:r>
        <w:rPr>
          <w:rFonts w:hint="eastAsia" w:ascii="宋体" w:hAnsi="宋体" w:eastAsia="宋体" w:cs="Times New Roman"/>
          <w:szCs w:val="24"/>
          <w:u w:val="single"/>
        </w:rPr>
        <w:t xml:space="preserve">            （签字）</w:t>
      </w:r>
      <w:r>
        <w:rPr>
          <w:rFonts w:hint="eastAsia" w:ascii="宋体" w:hAnsi="宋体" w:eastAsia="宋体" w:cs="Times New Roman"/>
          <w:szCs w:val="24"/>
        </w:rPr>
        <w:t xml:space="preserve">       或其授权的代理人：</w:t>
      </w:r>
      <w:r>
        <w:rPr>
          <w:rFonts w:hint="eastAsia" w:ascii="宋体" w:hAnsi="宋体" w:eastAsia="宋体" w:cs="Times New Roman"/>
          <w:szCs w:val="24"/>
          <w:u w:val="single"/>
        </w:rPr>
        <w:t xml:space="preserve">              （签字）</w:t>
      </w:r>
    </w:p>
    <w:p>
      <w:pPr>
        <w:tabs>
          <w:tab w:val="left" w:pos="1260"/>
        </w:tabs>
        <w:spacing w:line="312" w:lineRule="auto"/>
        <w:rPr>
          <w:rFonts w:ascii="宋体" w:hAnsi="宋体" w:eastAsia="宋体" w:cs="Times New Roman"/>
          <w:szCs w:val="24"/>
        </w:rPr>
      </w:pPr>
      <w:r>
        <w:rPr>
          <w:rFonts w:hint="eastAsia" w:ascii="宋体" w:hAnsi="宋体" w:eastAsia="宋体" w:cs="Times New Roman"/>
          <w:szCs w:val="24"/>
        </w:rPr>
        <w:t>日期：     年   月   日                      日期：    年   月   日</w:t>
      </w:r>
    </w:p>
    <w:p>
      <w:pPr>
        <w:rPr>
          <w:rFonts w:ascii="宋体" w:hAnsi="宋体" w:eastAsia="宋体"/>
        </w:rPr>
      </w:pPr>
    </w:p>
    <w:p>
      <w:pPr>
        <w:autoSpaceDE w:val="0"/>
        <w:autoSpaceDN w:val="0"/>
        <w:spacing w:line="360" w:lineRule="auto"/>
        <w:ind w:firstLine="200"/>
        <w:jc w:val="center"/>
        <w:rPr>
          <w:rFonts w:ascii="宋体" w:hAnsi="宋体"/>
          <w:b/>
          <w:bCs/>
          <w:sz w:val="24"/>
        </w:rPr>
      </w:pPr>
    </w:p>
    <w:p>
      <w:pPr>
        <w:rPr>
          <w:rFonts w:ascii="宋体" w:hAnsi="宋体"/>
          <w:b/>
          <w:bCs/>
          <w:sz w:val="24"/>
        </w:rPr>
      </w:pPr>
    </w:p>
    <w:p>
      <w:pPr>
        <w:widowControl/>
        <w:jc w:val="left"/>
        <w:rPr>
          <w:rFonts w:hint="eastAsia" w:ascii="宋体" w:hAnsi="宋体" w:eastAsia="宋体" w:cs="宋体"/>
          <w:b/>
          <w:bCs/>
          <w:sz w:val="24"/>
          <w:highlight w:val="none"/>
        </w:rPr>
      </w:pPr>
    </w:p>
    <w:p>
      <w:pPr>
        <w:pStyle w:val="121"/>
        <w:rPr>
          <w:rFonts w:hint="eastAsia" w:ascii="宋体" w:hAnsi="宋体" w:eastAsia="宋体" w:cs="宋体"/>
          <w:highlight w:val="none"/>
        </w:rPr>
      </w:pPr>
      <w:bookmarkStart w:id="52" w:name="_Toc70512794"/>
      <w:bookmarkStart w:id="53" w:name="_Toc92976622"/>
      <w:r>
        <w:rPr>
          <w:rFonts w:hint="eastAsia" w:ascii="宋体" w:hAnsi="宋体" w:eastAsia="宋体" w:cs="宋体"/>
          <w:highlight w:val="none"/>
        </w:rPr>
        <w:br w:type="column"/>
      </w:r>
      <w:r>
        <w:rPr>
          <w:rFonts w:hint="eastAsia" w:ascii="宋体" w:hAnsi="宋体" w:eastAsia="宋体" w:cs="宋体"/>
          <w:highlight w:val="none"/>
        </w:rPr>
        <w:t>五.评分标准</w:t>
      </w:r>
      <w:bookmarkEnd w:id="52"/>
      <w:bookmarkEnd w:id="53"/>
    </w:p>
    <w:p>
      <w:pPr>
        <w:widowControl/>
        <w:rPr>
          <w:rFonts w:hint="eastAsia" w:ascii="宋体" w:hAnsi="宋体" w:eastAsia="宋体" w:cs="宋体"/>
          <w:bCs/>
          <w:color w:val="000000" w:themeColor="text1"/>
          <w:sz w:val="24"/>
          <w:szCs w:val="24"/>
          <w:highlight w:val="none"/>
        </w:rPr>
      </w:pPr>
    </w:p>
    <w:bookmarkEnd w:id="51"/>
    <w:p>
      <w:pPr>
        <w:spacing w:line="360" w:lineRule="auto"/>
        <w:ind w:firstLine="480" w:firstLineChars="200"/>
        <w:rPr>
          <w:rFonts w:hint="eastAsia" w:ascii="宋体" w:hAnsi="宋体" w:eastAsia="宋体" w:cs="宋体"/>
          <w:sz w:val="24"/>
          <w:szCs w:val="24"/>
          <w:highlight w:val="none"/>
        </w:rPr>
      </w:pPr>
      <w:bookmarkStart w:id="54" w:name="_Toc55147052"/>
      <w:bookmarkStart w:id="55" w:name="_Toc92976623"/>
      <w:r>
        <w:rPr>
          <w:rFonts w:hint="eastAsia" w:ascii="宋体" w:hAnsi="宋体" w:eastAsia="宋体" w:cs="宋体"/>
          <w:sz w:val="24"/>
          <w:szCs w:val="24"/>
          <w:highlight w:val="none"/>
        </w:rPr>
        <w:t>采用低价优先法计算，即满足采购文件要求且投标价格最低的投标报价为磋商基准价，其价格分为满分。其他报价人的价格分统一按照下列公式计算：</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磋商报价得分=(磋商基准价／最后磋商报价)×价格权值×100。</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5"/>
        <w:gridCol w:w="1307"/>
        <w:gridCol w:w="6487"/>
        <w:gridCol w:w="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trPr>
        <w:tc>
          <w:tcPr>
            <w:tcW w:w="795"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307"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评分因素</w:t>
            </w:r>
          </w:p>
        </w:tc>
        <w:tc>
          <w:tcPr>
            <w:tcW w:w="6487"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评审标准</w:t>
            </w:r>
          </w:p>
        </w:tc>
        <w:tc>
          <w:tcPr>
            <w:tcW w:w="975"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95"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07"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6487"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满足招标文件要求且投标价格最低的投标价为评标基准价，其价格分为满分（10分）。其他供应商的价格统一按照下列公式计算：投标得分＝（评标基准价／投标报价）×10。</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若供应商的投标报价高于最高限价，即为无效投标。</w:t>
            </w:r>
          </w:p>
        </w:tc>
        <w:tc>
          <w:tcPr>
            <w:tcW w:w="975"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95" w:type="dxa"/>
            <w:vMerge w:val="restart"/>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307" w:type="dxa"/>
            <w:vMerge w:val="restart"/>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规划编制方案（50分）</w:t>
            </w:r>
          </w:p>
        </w:tc>
        <w:tc>
          <w:tcPr>
            <w:tcW w:w="6487" w:type="dxa"/>
            <w:tcBorders>
              <w:bottom w:val="single" w:color="auto" w:sz="4" w:space="0"/>
            </w:tcBorders>
            <w:vAlign w:val="center"/>
          </w:tcPr>
          <w:p>
            <w:pPr>
              <w:rPr>
                <w:rFonts w:hint="eastAsia" w:ascii="宋体" w:hAnsi="宋体" w:eastAsia="宋体" w:cs="宋体"/>
                <w:sz w:val="24"/>
                <w:szCs w:val="24"/>
                <w:highlight w:val="none"/>
              </w:rPr>
            </w:pPr>
            <w:r>
              <w:rPr>
                <w:rFonts w:hint="eastAsia" w:ascii="宋体" w:hAnsi="宋体" w:eastAsia="宋体" w:cs="宋体"/>
                <w:b/>
                <w:bCs/>
                <w:sz w:val="24"/>
                <w:szCs w:val="24"/>
                <w:highlight w:val="none"/>
              </w:rPr>
              <w:t>对项目的理解及认识：</w:t>
            </w:r>
            <w:r>
              <w:rPr>
                <w:rFonts w:hint="eastAsia" w:ascii="宋体" w:hAnsi="宋体" w:eastAsia="宋体" w:cs="宋体"/>
                <w:sz w:val="24"/>
                <w:szCs w:val="24"/>
                <w:highlight w:val="none"/>
              </w:rPr>
              <w:t>针对本项目的认识和理解，由评委进行综合评定打分，</w:t>
            </w:r>
            <w:r>
              <w:rPr>
                <w:rFonts w:hint="eastAsia" w:ascii="宋体" w:hAnsi="宋体" w:eastAsia="宋体" w:cs="宋体"/>
                <w:sz w:val="24"/>
                <w:szCs w:val="24"/>
                <w:highlight w:val="none"/>
                <w:lang w:val="en-US" w:eastAsia="zh-CN"/>
              </w:rPr>
              <w:t>本项</w:t>
            </w:r>
            <w:r>
              <w:rPr>
                <w:rFonts w:hint="eastAsia" w:ascii="宋体" w:hAnsi="宋体" w:eastAsia="宋体" w:cs="宋体"/>
                <w:sz w:val="24"/>
                <w:szCs w:val="24"/>
                <w:highlight w:val="none"/>
              </w:rPr>
              <w:t>最高得10分。</w:t>
            </w:r>
          </w:p>
          <w:p>
            <w:pPr>
              <w:numPr>
                <w:ilvl w:val="0"/>
                <w:numId w:val="5"/>
              </w:numPr>
              <w:rPr>
                <w:rFonts w:hint="eastAsia" w:ascii="宋体" w:hAnsi="宋体" w:eastAsia="宋体" w:cs="宋体"/>
                <w:sz w:val="24"/>
                <w:szCs w:val="24"/>
                <w:highlight w:val="none"/>
              </w:rPr>
            </w:pPr>
            <w:r>
              <w:rPr>
                <w:rFonts w:hint="eastAsia" w:ascii="宋体" w:hAnsi="宋体" w:eastAsia="宋体" w:cs="宋体"/>
                <w:sz w:val="24"/>
                <w:szCs w:val="24"/>
                <w:highlight w:val="none"/>
              </w:rPr>
              <w:t>内容与深度符合招标文件要求，认识理解把握准确，得10分；</w:t>
            </w:r>
          </w:p>
          <w:p>
            <w:pPr>
              <w:numPr>
                <w:ilvl w:val="0"/>
                <w:numId w:val="5"/>
              </w:numPr>
              <w:rPr>
                <w:rFonts w:hint="eastAsia" w:ascii="宋体" w:hAnsi="宋体" w:eastAsia="宋体" w:cs="宋体"/>
                <w:sz w:val="24"/>
                <w:szCs w:val="24"/>
                <w:highlight w:val="none"/>
              </w:rPr>
            </w:pPr>
            <w:r>
              <w:rPr>
                <w:rFonts w:hint="eastAsia" w:ascii="宋体" w:hAnsi="宋体" w:eastAsia="宋体" w:cs="宋体"/>
                <w:sz w:val="24"/>
                <w:szCs w:val="24"/>
                <w:highlight w:val="none"/>
              </w:rPr>
              <w:t>内容与深度基本符合招标文件要求，认识理解把握基本准确，得8分；</w:t>
            </w:r>
          </w:p>
          <w:p>
            <w:pPr>
              <w:numPr>
                <w:ilvl w:val="0"/>
                <w:numId w:val="5"/>
              </w:numPr>
              <w:rPr>
                <w:rFonts w:hint="eastAsia" w:ascii="宋体" w:hAnsi="宋体" w:eastAsia="宋体" w:cs="宋体"/>
                <w:sz w:val="24"/>
                <w:szCs w:val="24"/>
                <w:highlight w:val="none"/>
              </w:rPr>
            </w:pPr>
            <w:r>
              <w:rPr>
                <w:rFonts w:hint="eastAsia" w:ascii="宋体" w:hAnsi="宋体" w:eastAsia="宋体" w:cs="宋体"/>
                <w:sz w:val="24"/>
                <w:szCs w:val="24"/>
                <w:highlight w:val="none"/>
              </w:rPr>
              <w:t>内容与深度基本符合招标文件要求，认识理解较为片面，得6分；</w:t>
            </w:r>
          </w:p>
          <w:p>
            <w:pPr>
              <w:numPr>
                <w:ilvl w:val="0"/>
                <w:numId w:val="5"/>
              </w:numPr>
              <w:rPr>
                <w:rFonts w:hint="eastAsia" w:ascii="宋体" w:hAnsi="宋体" w:eastAsia="宋体" w:cs="宋体"/>
                <w:sz w:val="24"/>
                <w:szCs w:val="24"/>
                <w:highlight w:val="none"/>
              </w:rPr>
            </w:pPr>
            <w:r>
              <w:rPr>
                <w:rFonts w:hint="eastAsia" w:ascii="宋体" w:hAnsi="宋体" w:eastAsia="宋体" w:cs="宋体"/>
                <w:sz w:val="24"/>
                <w:szCs w:val="24"/>
                <w:highlight w:val="none"/>
              </w:rPr>
              <w:t>未进行此项描述，或者内容与深度难以满足招标文件要求，认识理解错误，得0分。</w:t>
            </w:r>
          </w:p>
        </w:tc>
        <w:tc>
          <w:tcPr>
            <w:tcW w:w="975" w:type="dxa"/>
            <w:tcBorders>
              <w:bottom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95" w:type="dxa"/>
            <w:vMerge w:val="continue"/>
            <w:vAlign w:val="center"/>
          </w:tcPr>
          <w:p>
            <w:pPr>
              <w:jc w:val="center"/>
              <w:rPr>
                <w:rFonts w:hint="eastAsia" w:ascii="宋体" w:hAnsi="宋体" w:eastAsia="宋体" w:cs="宋体"/>
                <w:sz w:val="24"/>
                <w:szCs w:val="24"/>
                <w:highlight w:val="none"/>
              </w:rPr>
            </w:pPr>
          </w:p>
        </w:tc>
        <w:tc>
          <w:tcPr>
            <w:tcW w:w="1307" w:type="dxa"/>
            <w:vMerge w:val="continue"/>
            <w:vAlign w:val="center"/>
          </w:tcPr>
          <w:p>
            <w:pPr>
              <w:jc w:val="center"/>
              <w:rPr>
                <w:rFonts w:hint="eastAsia" w:ascii="宋体" w:hAnsi="宋体" w:eastAsia="宋体" w:cs="宋体"/>
                <w:sz w:val="24"/>
                <w:szCs w:val="24"/>
                <w:highlight w:val="none"/>
              </w:rPr>
            </w:pPr>
          </w:p>
        </w:tc>
        <w:tc>
          <w:tcPr>
            <w:tcW w:w="6487" w:type="dxa"/>
            <w:tcBorders>
              <w:top w:val="single" w:color="auto" w:sz="4" w:space="0"/>
              <w:bottom w:val="single" w:color="auto" w:sz="4" w:space="0"/>
            </w:tcBorders>
            <w:vAlign w:val="center"/>
          </w:tcPr>
          <w:p>
            <w:pPr>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项目研究思路：</w:t>
            </w:r>
            <w:r>
              <w:rPr>
                <w:rFonts w:hint="eastAsia" w:ascii="宋体" w:hAnsi="宋体" w:eastAsia="宋体" w:cs="宋体"/>
                <w:sz w:val="24"/>
                <w:szCs w:val="24"/>
                <w:highlight w:val="none"/>
              </w:rPr>
              <w:t>针对本项目的研究思路，由评委进行综合评定打分，</w:t>
            </w:r>
            <w:r>
              <w:rPr>
                <w:rFonts w:hint="eastAsia" w:ascii="宋体" w:hAnsi="宋体" w:eastAsia="宋体" w:cs="宋体"/>
                <w:sz w:val="24"/>
                <w:szCs w:val="24"/>
                <w:highlight w:val="none"/>
                <w:lang w:val="en-US" w:eastAsia="zh-CN"/>
              </w:rPr>
              <w:t>本项</w:t>
            </w:r>
            <w:r>
              <w:rPr>
                <w:rFonts w:hint="eastAsia" w:ascii="宋体" w:hAnsi="宋体" w:eastAsia="宋体" w:cs="宋体"/>
                <w:sz w:val="24"/>
                <w:szCs w:val="24"/>
                <w:highlight w:val="none"/>
              </w:rPr>
              <w:t>最高得10分。</w:t>
            </w:r>
          </w:p>
          <w:p>
            <w:pPr>
              <w:numPr>
                <w:ilvl w:val="0"/>
                <w:numId w:val="6"/>
              </w:numPr>
              <w:rPr>
                <w:rFonts w:hint="eastAsia" w:ascii="宋体" w:hAnsi="宋体" w:eastAsia="宋体" w:cs="宋体"/>
                <w:sz w:val="24"/>
                <w:szCs w:val="24"/>
                <w:highlight w:val="none"/>
              </w:rPr>
            </w:pPr>
            <w:r>
              <w:rPr>
                <w:rFonts w:hint="eastAsia" w:ascii="宋体" w:hAnsi="宋体" w:eastAsia="宋体" w:cs="宋体"/>
                <w:sz w:val="24"/>
                <w:szCs w:val="24"/>
                <w:highlight w:val="none"/>
              </w:rPr>
              <w:t>研究思路清晰、明确、逻辑性强，理念新颖，得10分；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研究思路基本清晰、明确，得8分</w:t>
            </w:r>
          </w:p>
          <w:p>
            <w:pPr>
              <w:numPr>
                <w:ilvl w:val="0"/>
                <w:numId w:val="0"/>
              </w:numPr>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对研究思路一般，满足项目需求，得6分；</w:t>
            </w:r>
          </w:p>
          <w:p>
            <w:pPr>
              <w:numPr>
                <w:ilvl w:val="0"/>
                <w:numId w:val="0"/>
              </w:numPr>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未进行此项描述，或者研究思路模糊、混乱、缺乏可实施性，得0分。</w:t>
            </w:r>
          </w:p>
        </w:tc>
        <w:tc>
          <w:tcPr>
            <w:tcW w:w="975" w:type="dxa"/>
            <w:tcBorders>
              <w:top w:val="single" w:color="auto" w:sz="4" w:space="0"/>
              <w:bottom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95" w:type="dxa"/>
            <w:vMerge w:val="continue"/>
            <w:vAlign w:val="center"/>
          </w:tcPr>
          <w:p>
            <w:pPr>
              <w:jc w:val="center"/>
              <w:rPr>
                <w:rFonts w:hint="eastAsia" w:ascii="宋体" w:hAnsi="宋体" w:eastAsia="宋体" w:cs="宋体"/>
                <w:sz w:val="24"/>
                <w:szCs w:val="24"/>
                <w:highlight w:val="none"/>
              </w:rPr>
            </w:pPr>
          </w:p>
        </w:tc>
        <w:tc>
          <w:tcPr>
            <w:tcW w:w="1307" w:type="dxa"/>
            <w:vMerge w:val="continue"/>
            <w:vAlign w:val="center"/>
          </w:tcPr>
          <w:p>
            <w:pPr>
              <w:jc w:val="center"/>
              <w:rPr>
                <w:rFonts w:hint="eastAsia" w:ascii="宋体" w:hAnsi="宋体" w:eastAsia="宋体" w:cs="宋体"/>
                <w:sz w:val="24"/>
                <w:szCs w:val="24"/>
                <w:highlight w:val="none"/>
              </w:rPr>
            </w:pPr>
          </w:p>
        </w:tc>
        <w:tc>
          <w:tcPr>
            <w:tcW w:w="6487" w:type="dxa"/>
            <w:tcBorders>
              <w:top w:val="single" w:color="auto" w:sz="4" w:space="0"/>
              <w:bottom w:val="single" w:color="auto" w:sz="4" w:space="0"/>
            </w:tcBorders>
            <w:vAlign w:val="center"/>
          </w:tcPr>
          <w:p>
            <w:pPr>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项目工作方案：</w:t>
            </w:r>
            <w:r>
              <w:rPr>
                <w:rFonts w:hint="eastAsia" w:ascii="宋体" w:hAnsi="宋体" w:eastAsia="宋体" w:cs="宋体"/>
                <w:sz w:val="24"/>
                <w:szCs w:val="24"/>
                <w:highlight w:val="none"/>
              </w:rPr>
              <w:t>针对本项目工作方案的制定，由评委进行综合评定打分，</w:t>
            </w:r>
            <w:r>
              <w:rPr>
                <w:rFonts w:hint="eastAsia" w:ascii="宋体" w:hAnsi="宋体" w:eastAsia="宋体" w:cs="宋体"/>
                <w:sz w:val="24"/>
                <w:szCs w:val="24"/>
                <w:highlight w:val="none"/>
                <w:lang w:val="en-US" w:eastAsia="zh-CN"/>
              </w:rPr>
              <w:t>本项</w:t>
            </w:r>
            <w:r>
              <w:rPr>
                <w:rFonts w:hint="eastAsia" w:ascii="宋体" w:hAnsi="宋体" w:eastAsia="宋体" w:cs="宋体"/>
                <w:sz w:val="24"/>
                <w:szCs w:val="24"/>
                <w:highlight w:val="none"/>
              </w:rPr>
              <w:t>最高得10分。</w:t>
            </w:r>
          </w:p>
          <w:p>
            <w:pPr>
              <w:numPr>
                <w:ilvl w:val="0"/>
                <w:numId w:val="7"/>
              </w:numPr>
              <w:rPr>
                <w:rFonts w:hint="eastAsia" w:ascii="宋体" w:hAnsi="宋体" w:eastAsia="宋体" w:cs="宋体"/>
                <w:sz w:val="24"/>
                <w:szCs w:val="24"/>
                <w:highlight w:val="none"/>
              </w:rPr>
            </w:pPr>
            <w:r>
              <w:rPr>
                <w:rFonts w:hint="eastAsia" w:ascii="宋体" w:hAnsi="宋体" w:eastAsia="宋体" w:cs="宋体"/>
                <w:sz w:val="24"/>
                <w:szCs w:val="24"/>
                <w:highlight w:val="none"/>
              </w:rPr>
              <w:t>项目工作方案详尽、完善，研究成果内容结构全面、完整，得10分；</w:t>
            </w:r>
          </w:p>
          <w:p>
            <w:pPr>
              <w:numPr>
                <w:ilvl w:val="0"/>
                <w:numId w:val="7"/>
              </w:numPr>
              <w:rPr>
                <w:rFonts w:hint="eastAsia" w:ascii="宋体" w:hAnsi="宋体" w:eastAsia="宋体" w:cs="宋体"/>
                <w:sz w:val="24"/>
                <w:szCs w:val="24"/>
                <w:highlight w:val="none"/>
              </w:rPr>
            </w:pPr>
            <w:r>
              <w:rPr>
                <w:rFonts w:hint="eastAsia" w:ascii="宋体" w:hAnsi="宋体" w:eastAsia="宋体" w:cs="宋体"/>
                <w:sz w:val="24"/>
                <w:szCs w:val="24"/>
                <w:highlight w:val="none"/>
              </w:rPr>
              <w:t>项目工作方案基本准确，研究成果内容结构基本完整，得8分；</w:t>
            </w:r>
          </w:p>
          <w:p>
            <w:pPr>
              <w:numPr>
                <w:ilvl w:val="0"/>
                <w:numId w:val="7"/>
              </w:numPr>
              <w:rPr>
                <w:rFonts w:hint="eastAsia" w:ascii="宋体" w:hAnsi="宋体" w:eastAsia="宋体" w:cs="宋体"/>
                <w:sz w:val="24"/>
                <w:szCs w:val="24"/>
                <w:highlight w:val="none"/>
              </w:rPr>
            </w:pPr>
            <w:r>
              <w:rPr>
                <w:rFonts w:hint="eastAsia" w:ascii="宋体" w:hAnsi="宋体" w:eastAsia="宋体" w:cs="宋体"/>
                <w:sz w:val="24"/>
                <w:szCs w:val="24"/>
                <w:highlight w:val="none"/>
              </w:rPr>
              <w:t>项目工作方案及研究成果内容一般，满足项目需求，得6分；</w:t>
            </w:r>
          </w:p>
          <w:p>
            <w:pPr>
              <w:numPr>
                <w:ilvl w:val="0"/>
                <w:numId w:val="7"/>
              </w:numPr>
              <w:rPr>
                <w:rFonts w:hint="eastAsia" w:ascii="宋体" w:hAnsi="宋体" w:eastAsia="宋体" w:cs="宋体"/>
                <w:sz w:val="24"/>
                <w:szCs w:val="24"/>
                <w:highlight w:val="none"/>
              </w:rPr>
            </w:pPr>
            <w:r>
              <w:rPr>
                <w:rFonts w:hint="eastAsia" w:ascii="宋体" w:hAnsi="宋体" w:eastAsia="宋体" w:cs="宋体"/>
                <w:sz w:val="24"/>
                <w:szCs w:val="24"/>
                <w:highlight w:val="none"/>
              </w:rPr>
              <w:t>未进行此项描述，或者项目工作方案描述笼统、粗略，规划研究成果内容结构条理不清，得0分。</w:t>
            </w:r>
          </w:p>
        </w:tc>
        <w:tc>
          <w:tcPr>
            <w:tcW w:w="975" w:type="dxa"/>
            <w:tcBorders>
              <w:top w:val="single" w:color="auto" w:sz="4" w:space="0"/>
              <w:bottom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trPr>
        <w:tc>
          <w:tcPr>
            <w:tcW w:w="795" w:type="dxa"/>
            <w:vMerge w:val="continue"/>
            <w:vAlign w:val="center"/>
          </w:tcPr>
          <w:p>
            <w:pPr>
              <w:jc w:val="center"/>
              <w:rPr>
                <w:rFonts w:hint="eastAsia" w:ascii="宋体" w:hAnsi="宋体" w:eastAsia="宋体" w:cs="宋体"/>
                <w:sz w:val="24"/>
                <w:szCs w:val="24"/>
                <w:highlight w:val="none"/>
              </w:rPr>
            </w:pPr>
          </w:p>
        </w:tc>
        <w:tc>
          <w:tcPr>
            <w:tcW w:w="1307" w:type="dxa"/>
            <w:vMerge w:val="continue"/>
            <w:vAlign w:val="center"/>
          </w:tcPr>
          <w:p>
            <w:pPr>
              <w:jc w:val="center"/>
              <w:rPr>
                <w:rFonts w:hint="eastAsia" w:ascii="宋体" w:hAnsi="宋体" w:eastAsia="宋体" w:cs="宋体"/>
                <w:sz w:val="24"/>
                <w:szCs w:val="24"/>
                <w:highlight w:val="none"/>
              </w:rPr>
            </w:pPr>
          </w:p>
        </w:tc>
        <w:tc>
          <w:tcPr>
            <w:tcW w:w="6487" w:type="dxa"/>
            <w:tcBorders>
              <w:top w:val="single" w:color="auto" w:sz="4" w:space="0"/>
            </w:tcBorders>
            <w:vAlign w:val="center"/>
          </w:tcPr>
          <w:p>
            <w:pPr>
              <w:rPr>
                <w:rFonts w:hint="eastAsia" w:ascii="宋体" w:hAnsi="宋体" w:eastAsia="宋体" w:cs="宋体"/>
                <w:sz w:val="24"/>
                <w:szCs w:val="24"/>
                <w:highlight w:val="none"/>
              </w:rPr>
            </w:pPr>
            <w:r>
              <w:rPr>
                <w:rFonts w:hint="eastAsia" w:ascii="宋体" w:hAnsi="宋体" w:eastAsia="宋体" w:cs="宋体"/>
                <w:b/>
                <w:bCs/>
                <w:sz w:val="24"/>
                <w:szCs w:val="24"/>
                <w:highlight w:val="none"/>
              </w:rPr>
              <w:t>工作重点、难点的分析：</w:t>
            </w:r>
            <w:r>
              <w:rPr>
                <w:rFonts w:hint="eastAsia" w:ascii="宋体" w:hAnsi="宋体" w:eastAsia="宋体" w:cs="宋体"/>
                <w:sz w:val="24"/>
                <w:szCs w:val="24"/>
                <w:highlight w:val="none"/>
              </w:rPr>
              <w:t>针对本项目重点的分析和提出相应对策，由评委进行综合评定打分，</w:t>
            </w:r>
            <w:r>
              <w:rPr>
                <w:rFonts w:hint="eastAsia" w:ascii="宋体" w:hAnsi="宋体" w:eastAsia="宋体" w:cs="宋体"/>
                <w:sz w:val="24"/>
                <w:szCs w:val="24"/>
                <w:highlight w:val="none"/>
                <w:lang w:val="en-US" w:eastAsia="zh-CN"/>
              </w:rPr>
              <w:t>本项</w:t>
            </w:r>
            <w:r>
              <w:rPr>
                <w:rFonts w:hint="eastAsia" w:ascii="宋体" w:hAnsi="宋体" w:eastAsia="宋体" w:cs="宋体"/>
                <w:sz w:val="24"/>
                <w:szCs w:val="24"/>
                <w:highlight w:val="none"/>
              </w:rPr>
              <w:t>最高得10分。</w:t>
            </w:r>
          </w:p>
          <w:p>
            <w:pPr>
              <w:numPr>
                <w:ilvl w:val="0"/>
                <w:numId w:val="8"/>
              </w:numPr>
              <w:rPr>
                <w:rFonts w:hint="eastAsia" w:ascii="宋体" w:hAnsi="宋体" w:eastAsia="宋体" w:cs="宋体"/>
                <w:sz w:val="24"/>
                <w:szCs w:val="24"/>
                <w:highlight w:val="none"/>
              </w:rPr>
            </w:pPr>
            <w:r>
              <w:rPr>
                <w:rFonts w:hint="eastAsia" w:ascii="宋体" w:hAnsi="宋体" w:eastAsia="宋体" w:cs="宋体"/>
                <w:sz w:val="24"/>
                <w:szCs w:val="24"/>
                <w:highlight w:val="none"/>
              </w:rPr>
              <w:t>项目研究工作重点、难点分析透彻、准确、到位，并有针对性且切实可行的解决方案，得10分；</w:t>
            </w:r>
          </w:p>
          <w:p>
            <w:pPr>
              <w:numPr>
                <w:ilvl w:val="0"/>
                <w:numId w:val="8"/>
              </w:numPr>
              <w:rPr>
                <w:rFonts w:hint="eastAsia" w:ascii="宋体" w:hAnsi="宋体" w:eastAsia="宋体" w:cs="宋体"/>
                <w:sz w:val="24"/>
                <w:szCs w:val="24"/>
                <w:highlight w:val="none"/>
              </w:rPr>
            </w:pPr>
            <w:r>
              <w:rPr>
                <w:rFonts w:hint="eastAsia" w:ascii="宋体" w:hAnsi="宋体" w:eastAsia="宋体" w:cs="宋体"/>
                <w:sz w:val="24"/>
                <w:szCs w:val="24"/>
                <w:highlight w:val="none"/>
              </w:rPr>
              <w:t>对项目研究工作重点、难点分析准确并提出合适的、相应的解决方案，得8分；</w:t>
            </w:r>
          </w:p>
          <w:p>
            <w:pPr>
              <w:numPr>
                <w:ilvl w:val="0"/>
                <w:numId w:val="8"/>
              </w:numPr>
              <w:rPr>
                <w:rFonts w:hint="eastAsia" w:ascii="宋体" w:hAnsi="宋体" w:eastAsia="宋体" w:cs="宋体"/>
                <w:sz w:val="24"/>
                <w:szCs w:val="24"/>
                <w:highlight w:val="none"/>
              </w:rPr>
            </w:pPr>
            <w:r>
              <w:rPr>
                <w:rFonts w:hint="eastAsia" w:ascii="宋体" w:hAnsi="宋体" w:eastAsia="宋体" w:cs="宋体"/>
                <w:sz w:val="24"/>
                <w:szCs w:val="24"/>
                <w:highlight w:val="none"/>
              </w:rPr>
              <w:t>对项目研究工作重点、难点分析基本准确并提出解决方案，得6分；</w:t>
            </w:r>
          </w:p>
          <w:p>
            <w:pPr>
              <w:numPr>
                <w:ilvl w:val="0"/>
                <w:numId w:val="8"/>
              </w:numPr>
              <w:rPr>
                <w:rFonts w:hint="eastAsia" w:ascii="宋体" w:hAnsi="宋体" w:eastAsia="宋体" w:cs="宋体"/>
                <w:sz w:val="24"/>
                <w:szCs w:val="24"/>
                <w:highlight w:val="none"/>
              </w:rPr>
            </w:pPr>
            <w:r>
              <w:rPr>
                <w:rFonts w:hint="eastAsia" w:ascii="宋体" w:hAnsi="宋体" w:eastAsia="宋体" w:cs="宋体"/>
                <w:sz w:val="24"/>
                <w:szCs w:val="24"/>
                <w:highlight w:val="none"/>
              </w:rPr>
              <w:t>未进行此项描述，或者对项目研究工作重点、难点缺乏了解或无可行的解决方案，得0分。</w:t>
            </w:r>
          </w:p>
        </w:tc>
        <w:tc>
          <w:tcPr>
            <w:tcW w:w="975" w:type="dxa"/>
            <w:tcBorders>
              <w:top w:val="single" w:color="auto" w:sz="4" w:space="0"/>
              <w:bottom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2" w:hRule="atLeast"/>
        </w:trPr>
        <w:tc>
          <w:tcPr>
            <w:tcW w:w="795" w:type="dxa"/>
            <w:vMerge w:val="continue"/>
            <w:vAlign w:val="center"/>
          </w:tcPr>
          <w:p>
            <w:pPr>
              <w:jc w:val="center"/>
              <w:rPr>
                <w:rFonts w:hint="eastAsia" w:ascii="宋体" w:hAnsi="宋体" w:eastAsia="宋体" w:cs="宋体"/>
                <w:sz w:val="24"/>
                <w:szCs w:val="24"/>
                <w:highlight w:val="none"/>
              </w:rPr>
            </w:pPr>
          </w:p>
        </w:tc>
        <w:tc>
          <w:tcPr>
            <w:tcW w:w="1307" w:type="dxa"/>
            <w:vMerge w:val="continue"/>
            <w:vAlign w:val="center"/>
          </w:tcPr>
          <w:p>
            <w:pPr>
              <w:jc w:val="center"/>
              <w:rPr>
                <w:rFonts w:hint="eastAsia" w:ascii="宋体" w:hAnsi="宋体" w:eastAsia="宋体" w:cs="宋体"/>
                <w:sz w:val="24"/>
                <w:szCs w:val="24"/>
                <w:highlight w:val="none"/>
              </w:rPr>
            </w:pPr>
          </w:p>
        </w:tc>
        <w:tc>
          <w:tcPr>
            <w:tcW w:w="6487" w:type="dxa"/>
            <w:tcBorders>
              <w:top w:val="single" w:color="auto" w:sz="4" w:space="0"/>
              <w:bottom w:val="single" w:color="auto" w:sz="4" w:space="0"/>
            </w:tcBorders>
            <w:vAlign w:val="center"/>
          </w:tcPr>
          <w:p>
            <w:pPr>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项目质量保证措施：</w:t>
            </w:r>
            <w:r>
              <w:rPr>
                <w:rFonts w:hint="eastAsia" w:ascii="宋体" w:hAnsi="宋体" w:eastAsia="宋体" w:cs="宋体"/>
                <w:sz w:val="24"/>
                <w:szCs w:val="24"/>
                <w:highlight w:val="none"/>
              </w:rPr>
              <w:t>针对本项目的质量保证措施，由评委进行综合评定打分，</w:t>
            </w:r>
            <w:r>
              <w:rPr>
                <w:rFonts w:hint="eastAsia" w:ascii="宋体" w:hAnsi="宋体" w:eastAsia="宋体" w:cs="宋体"/>
                <w:sz w:val="24"/>
                <w:szCs w:val="24"/>
                <w:highlight w:val="none"/>
                <w:lang w:val="en-US" w:eastAsia="zh-CN"/>
              </w:rPr>
              <w:t>本项</w:t>
            </w:r>
            <w:r>
              <w:rPr>
                <w:rFonts w:hint="eastAsia" w:ascii="宋体" w:hAnsi="宋体" w:eastAsia="宋体" w:cs="宋体"/>
                <w:sz w:val="24"/>
                <w:szCs w:val="24"/>
                <w:highlight w:val="none"/>
              </w:rPr>
              <w:t>最高得10分。</w:t>
            </w:r>
          </w:p>
          <w:p>
            <w:pPr>
              <w:numPr>
                <w:ilvl w:val="0"/>
                <w:numId w:val="9"/>
              </w:numPr>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质量保证措施科学合理、重点突出、针对性强的，得10分；</w:t>
            </w:r>
          </w:p>
          <w:p>
            <w:pPr>
              <w:numPr>
                <w:ilvl w:val="0"/>
                <w:numId w:val="9"/>
              </w:numPr>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质量保证措施基本合理、有重点、较有针对性的，得8分；综合评定一般：</w:t>
            </w:r>
          </w:p>
          <w:p>
            <w:pPr>
              <w:numPr>
                <w:ilvl w:val="0"/>
                <w:numId w:val="9"/>
              </w:numPr>
              <w:rPr>
                <w:rFonts w:hint="eastAsia" w:ascii="宋体" w:hAnsi="宋体" w:eastAsia="宋体" w:cs="宋体"/>
                <w:sz w:val="24"/>
                <w:szCs w:val="24"/>
                <w:highlight w:val="none"/>
              </w:rPr>
            </w:pPr>
            <w:r>
              <w:rPr>
                <w:rFonts w:hint="eastAsia" w:ascii="宋体" w:hAnsi="宋体" w:eastAsia="宋体" w:cs="宋体"/>
                <w:sz w:val="24"/>
                <w:szCs w:val="24"/>
                <w:highlight w:val="none"/>
              </w:rPr>
              <w:t>满足项目需求，得6分；</w:t>
            </w:r>
          </w:p>
          <w:p>
            <w:pPr>
              <w:numPr>
                <w:ilvl w:val="0"/>
                <w:numId w:val="9"/>
              </w:numPr>
              <w:rPr>
                <w:rFonts w:hint="eastAsia" w:ascii="宋体" w:hAnsi="宋体" w:eastAsia="宋体" w:cs="宋体"/>
                <w:sz w:val="24"/>
                <w:szCs w:val="24"/>
                <w:highlight w:val="none"/>
              </w:rPr>
            </w:pPr>
            <w:r>
              <w:rPr>
                <w:rFonts w:hint="eastAsia" w:ascii="宋体" w:hAnsi="宋体" w:eastAsia="宋体" w:cs="宋体"/>
                <w:sz w:val="24"/>
                <w:szCs w:val="24"/>
                <w:highlight w:val="none"/>
              </w:rPr>
              <w:t>未进行此项描述，或者质量保证措施不合理的、无可操作性的，得0分。</w:t>
            </w:r>
          </w:p>
        </w:tc>
        <w:tc>
          <w:tcPr>
            <w:tcW w:w="975" w:type="dxa"/>
            <w:tcBorders>
              <w:top w:val="single" w:color="auto" w:sz="4" w:space="0"/>
              <w:bottom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795" w:type="dxa"/>
            <w:vMerge w:val="restart"/>
            <w:tcBorders>
              <w:top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307" w:type="dxa"/>
            <w:vMerge w:val="restart"/>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商务部分（40分）</w:t>
            </w:r>
          </w:p>
        </w:tc>
        <w:tc>
          <w:tcPr>
            <w:tcW w:w="6487" w:type="dxa"/>
            <w:tcBorders>
              <w:bottom w:val="single" w:color="auto" w:sz="4" w:space="0"/>
            </w:tcBorders>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根据供应商资质等级进行评分：</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1、具有公路工程设计类资质，乙级(含)以上的得 6分，丙级资质的得3分；（提供相关证明材料复印件）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2、企业信用等级为AAA的得3分，双A的得2分；（提供相关证明材料复印件）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3、通过ISO9000质量管理体系认证得2分。（提供相关证明材料复印件）</w:t>
            </w:r>
          </w:p>
        </w:tc>
        <w:tc>
          <w:tcPr>
            <w:tcW w:w="975" w:type="dxa"/>
            <w:tcBorders>
              <w:bottom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trPr>
        <w:tc>
          <w:tcPr>
            <w:tcW w:w="795" w:type="dxa"/>
            <w:vMerge w:val="continue"/>
            <w:vAlign w:val="center"/>
          </w:tcPr>
          <w:p>
            <w:pPr>
              <w:jc w:val="center"/>
              <w:rPr>
                <w:rFonts w:hint="eastAsia" w:ascii="宋体" w:hAnsi="宋体" w:eastAsia="宋体" w:cs="宋体"/>
                <w:sz w:val="24"/>
                <w:szCs w:val="24"/>
                <w:highlight w:val="none"/>
              </w:rPr>
            </w:pPr>
          </w:p>
        </w:tc>
        <w:tc>
          <w:tcPr>
            <w:tcW w:w="1307" w:type="dxa"/>
            <w:vMerge w:val="continue"/>
            <w:vAlign w:val="center"/>
          </w:tcPr>
          <w:p>
            <w:pPr>
              <w:jc w:val="center"/>
              <w:rPr>
                <w:rFonts w:hint="eastAsia" w:ascii="宋体" w:hAnsi="宋体" w:eastAsia="宋体" w:cs="宋体"/>
                <w:sz w:val="24"/>
                <w:szCs w:val="24"/>
                <w:highlight w:val="none"/>
              </w:rPr>
            </w:pPr>
          </w:p>
        </w:tc>
        <w:tc>
          <w:tcPr>
            <w:tcW w:w="6487" w:type="dxa"/>
            <w:tcBorders>
              <w:top w:val="single" w:color="auto" w:sz="4" w:space="0"/>
            </w:tcBorders>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根据供应商业绩进行评分：</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承担或参与过类似路网监测设施规划的研究工作，每个得6分，本项最多得12分。（提供相关证明材料复印件）</w:t>
            </w:r>
          </w:p>
        </w:tc>
        <w:tc>
          <w:tcPr>
            <w:tcW w:w="975" w:type="dxa"/>
            <w:tcBorders>
              <w:top w:val="single" w:color="auto" w:sz="4" w:space="0"/>
              <w:bottom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795" w:type="dxa"/>
            <w:vMerge w:val="continue"/>
            <w:vAlign w:val="center"/>
          </w:tcPr>
          <w:p>
            <w:pPr>
              <w:jc w:val="center"/>
              <w:rPr>
                <w:rFonts w:hint="eastAsia" w:ascii="宋体" w:hAnsi="宋体" w:eastAsia="宋体" w:cs="宋体"/>
                <w:sz w:val="24"/>
                <w:szCs w:val="24"/>
                <w:highlight w:val="none"/>
              </w:rPr>
            </w:pPr>
          </w:p>
        </w:tc>
        <w:tc>
          <w:tcPr>
            <w:tcW w:w="1307" w:type="dxa"/>
            <w:vMerge w:val="continue"/>
            <w:vAlign w:val="center"/>
          </w:tcPr>
          <w:p>
            <w:pPr>
              <w:jc w:val="center"/>
              <w:rPr>
                <w:rFonts w:hint="eastAsia" w:ascii="宋体" w:hAnsi="宋体" w:eastAsia="宋体" w:cs="宋体"/>
                <w:sz w:val="24"/>
                <w:szCs w:val="24"/>
                <w:highlight w:val="none"/>
              </w:rPr>
            </w:pPr>
          </w:p>
        </w:tc>
        <w:tc>
          <w:tcPr>
            <w:tcW w:w="6487" w:type="dxa"/>
            <w:tcBorders>
              <w:top w:val="single" w:color="auto" w:sz="4" w:space="0"/>
              <w:bottom w:val="single" w:color="auto" w:sz="4" w:space="0"/>
            </w:tcBorders>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根据项目负责人资历进行评分：</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项目负责人具有交通公路工程相关专业高级或以上职称的得5分，具有中级职称的得3分。（提供相关证书复印件）</w:t>
            </w:r>
          </w:p>
        </w:tc>
        <w:tc>
          <w:tcPr>
            <w:tcW w:w="975" w:type="dxa"/>
            <w:tcBorders>
              <w:top w:val="single" w:color="auto" w:sz="4" w:space="0"/>
              <w:bottom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795" w:type="dxa"/>
            <w:vMerge w:val="continue"/>
            <w:vAlign w:val="center"/>
          </w:tcPr>
          <w:p>
            <w:pPr>
              <w:jc w:val="center"/>
              <w:rPr>
                <w:rFonts w:hint="eastAsia" w:ascii="宋体" w:hAnsi="宋体" w:eastAsia="宋体" w:cs="宋体"/>
                <w:sz w:val="24"/>
                <w:szCs w:val="24"/>
                <w:highlight w:val="none"/>
              </w:rPr>
            </w:pPr>
          </w:p>
        </w:tc>
        <w:tc>
          <w:tcPr>
            <w:tcW w:w="1307" w:type="dxa"/>
            <w:vMerge w:val="continue"/>
            <w:vAlign w:val="center"/>
          </w:tcPr>
          <w:p>
            <w:pPr>
              <w:jc w:val="center"/>
              <w:rPr>
                <w:rFonts w:hint="eastAsia" w:ascii="宋体" w:hAnsi="宋体" w:eastAsia="宋体" w:cs="宋体"/>
                <w:sz w:val="24"/>
                <w:szCs w:val="24"/>
                <w:highlight w:val="none"/>
              </w:rPr>
            </w:pPr>
          </w:p>
        </w:tc>
        <w:tc>
          <w:tcPr>
            <w:tcW w:w="6487" w:type="dxa"/>
            <w:tcBorders>
              <w:top w:val="single" w:color="auto" w:sz="4" w:space="0"/>
              <w:bottom w:val="single" w:color="auto" w:sz="4" w:space="0"/>
            </w:tcBorders>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根据项目组人员结构进行评分：</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项目团队架构清晰，专业技术人员配置合理，配备外业调研人员不少于3人，满足或高于上述要求的得3分，低于要求的本项不得分；配备项目研究人员不少于3人，满足或高于上述要求的得3分，低于要求的本项不得分。</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2、投入本项目其他人员（项目负责人除外）具有高级(含）以上技术职称的，或者具备交通运输规划类、交通运输工程类等专业硕士及以上学历的，每有1人得 2 分，最多得 6分。（提供相关证明材料复印件）</w:t>
            </w:r>
          </w:p>
        </w:tc>
        <w:tc>
          <w:tcPr>
            <w:tcW w:w="975" w:type="dxa"/>
            <w:tcBorders>
              <w:top w:val="single" w:color="auto" w:sz="4" w:space="0"/>
              <w:bottom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r>
    </w:tbl>
    <w:p>
      <w:pPr>
        <w:widowControl/>
        <w:rPr>
          <w:rFonts w:hint="eastAsia" w:ascii="宋体" w:hAnsi="宋体" w:eastAsia="宋体" w:cs="宋体"/>
          <w:bCs/>
          <w:sz w:val="24"/>
          <w:szCs w:val="24"/>
          <w:highlight w:val="none"/>
        </w:rPr>
      </w:pPr>
    </w:p>
    <w:p>
      <w:pPr>
        <w:widowControl/>
        <w:spacing w:line="360" w:lineRule="auto"/>
        <w:rPr>
          <w:rFonts w:hint="eastAsia" w:ascii="宋体" w:hAnsi="宋体" w:eastAsia="宋体" w:cs="宋体"/>
          <w:sz w:val="22"/>
          <w:highlight w:val="none"/>
        </w:rPr>
      </w:pPr>
      <w:r>
        <w:rPr>
          <w:rFonts w:hint="eastAsia" w:ascii="宋体" w:hAnsi="宋体" w:eastAsia="宋体" w:cs="宋体"/>
          <w:sz w:val="22"/>
          <w:highlight w:val="none"/>
        </w:rPr>
        <w:t xml:space="preserve">注： </w:t>
      </w:r>
    </w:p>
    <w:p>
      <w:pPr>
        <w:spacing w:line="360" w:lineRule="auto"/>
        <w:ind w:firstLine="440" w:firstLineChars="200"/>
        <w:rPr>
          <w:rFonts w:hint="eastAsia" w:ascii="宋体" w:hAnsi="宋体" w:eastAsia="宋体" w:cs="宋体"/>
          <w:b/>
          <w:sz w:val="22"/>
          <w:szCs w:val="21"/>
          <w:highlight w:val="none"/>
        </w:rPr>
      </w:pPr>
      <w:r>
        <w:rPr>
          <w:rFonts w:hint="eastAsia" w:ascii="宋体" w:hAnsi="宋体" w:eastAsia="宋体" w:cs="宋体"/>
          <w:b/>
          <w:sz w:val="22"/>
          <w:szCs w:val="21"/>
          <w:highlight w:val="none"/>
        </w:rPr>
        <w:t>1、评分办法中所涉及的的相关各种资格、资质、证书、证明、业绩合同等材料在响应文件中提供复印件（加盖供应商公章）。拟投入项目组人员，响应文件中需提供企业为其缴纳的近三个月社保证明复印件。</w:t>
      </w:r>
    </w:p>
    <w:p>
      <w:pPr>
        <w:spacing w:line="360" w:lineRule="auto"/>
        <w:ind w:firstLine="440" w:firstLineChars="200"/>
        <w:jc w:val="left"/>
        <w:rPr>
          <w:rFonts w:hint="eastAsia" w:ascii="宋体" w:hAnsi="宋体" w:eastAsia="宋体" w:cs="宋体"/>
          <w:b/>
          <w:sz w:val="22"/>
          <w:szCs w:val="21"/>
          <w:highlight w:val="none"/>
        </w:rPr>
      </w:pPr>
      <w:r>
        <w:rPr>
          <w:rFonts w:hint="eastAsia" w:ascii="宋体" w:hAnsi="宋体" w:eastAsia="宋体" w:cs="宋体"/>
          <w:b/>
          <w:sz w:val="22"/>
          <w:szCs w:val="21"/>
          <w:highlight w:val="none"/>
        </w:rPr>
        <w:t>2、供应商报价若低于所有投标报价的平均价的60%，需提供澄清说明，若供应商未能提供澄清说明，则可视为恶意竞争投标，取消其中标资格。</w:t>
      </w:r>
    </w:p>
    <w:p>
      <w:pPr>
        <w:spacing w:line="360" w:lineRule="auto"/>
        <w:ind w:firstLine="440" w:firstLineChars="200"/>
        <w:jc w:val="left"/>
        <w:rPr>
          <w:rFonts w:hint="eastAsia" w:ascii="宋体" w:hAnsi="宋体" w:eastAsia="宋体" w:cs="宋体"/>
          <w:b/>
          <w:sz w:val="22"/>
          <w:szCs w:val="21"/>
          <w:highlight w:val="none"/>
        </w:rPr>
      </w:pPr>
      <w:r>
        <w:rPr>
          <w:rFonts w:hint="eastAsia" w:ascii="宋体" w:hAnsi="宋体" w:eastAsia="宋体" w:cs="宋体"/>
          <w:b/>
          <w:sz w:val="22"/>
          <w:szCs w:val="21"/>
          <w:highlight w:val="none"/>
        </w:rPr>
        <w:t>3、评审时，未能按以上要求提供相应证明的，不作为评分依据，不得分。</w:t>
      </w:r>
    </w:p>
    <w:p>
      <w:pPr>
        <w:spacing w:line="360" w:lineRule="auto"/>
        <w:ind w:firstLine="440" w:firstLineChars="200"/>
        <w:jc w:val="left"/>
        <w:rPr>
          <w:rFonts w:hint="eastAsia" w:ascii="宋体" w:hAnsi="宋体" w:eastAsia="宋体" w:cs="宋体"/>
          <w:b/>
          <w:sz w:val="22"/>
          <w:szCs w:val="21"/>
          <w:highlight w:val="none"/>
        </w:rPr>
      </w:pPr>
      <w:r>
        <w:rPr>
          <w:rFonts w:hint="eastAsia" w:ascii="宋体" w:hAnsi="宋体" w:eastAsia="宋体" w:cs="宋体"/>
          <w:b/>
          <w:sz w:val="22"/>
          <w:szCs w:val="21"/>
          <w:highlight w:val="none"/>
        </w:rPr>
        <w:t>4、为便于评分，请供应商按评分表样式，逐条列出证明材料所在页码，格式自定。</w:t>
      </w:r>
    </w:p>
    <w:p>
      <w:pPr>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br w:type="page"/>
      </w:r>
    </w:p>
    <w:p>
      <w:pPr>
        <w:keepNext/>
        <w:spacing w:line="360" w:lineRule="auto"/>
        <w:jc w:val="center"/>
        <w:outlineLvl w:val="0"/>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六．响应文件格式</w:t>
      </w:r>
      <w:bookmarkEnd w:id="54"/>
      <w:bookmarkEnd w:id="55"/>
    </w:p>
    <w:p>
      <w:pPr>
        <w:rPr>
          <w:rFonts w:hint="eastAsia" w:ascii="宋体" w:hAnsi="宋体" w:eastAsia="宋体" w:cs="宋体"/>
          <w:bCs/>
          <w:color w:val="000000" w:themeColor="text1"/>
          <w:sz w:val="32"/>
          <w:highlight w:val="none"/>
        </w:rPr>
      </w:pPr>
    </w:p>
    <w:p>
      <w:pPr>
        <w:rPr>
          <w:rFonts w:hint="eastAsia" w:ascii="宋体" w:hAnsi="宋体" w:eastAsia="宋体" w:cs="宋体"/>
          <w:bCs/>
          <w:color w:val="000000" w:themeColor="text1"/>
          <w:sz w:val="32"/>
          <w:highlight w:val="none"/>
        </w:rPr>
      </w:pPr>
    </w:p>
    <w:p>
      <w:pPr>
        <w:rPr>
          <w:rFonts w:hint="eastAsia" w:ascii="宋体" w:hAnsi="宋体" w:eastAsia="宋体" w:cs="宋体"/>
          <w:bCs/>
          <w:color w:val="000000" w:themeColor="text1"/>
          <w:sz w:val="32"/>
          <w:highlight w:val="none"/>
        </w:rPr>
      </w:pPr>
    </w:p>
    <w:p>
      <w:pPr>
        <w:rPr>
          <w:rFonts w:hint="eastAsia" w:ascii="宋体" w:hAnsi="宋体" w:eastAsia="宋体" w:cs="宋体"/>
          <w:bCs/>
          <w:color w:val="000000" w:themeColor="text1"/>
          <w:sz w:val="32"/>
          <w:highlight w:val="none"/>
        </w:rPr>
      </w:pPr>
    </w:p>
    <w:p>
      <w:pPr>
        <w:rPr>
          <w:rFonts w:hint="eastAsia" w:ascii="宋体" w:hAnsi="宋体" w:eastAsia="宋体" w:cs="宋体"/>
          <w:bCs/>
          <w:color w:val="000000" w:themeColor="text1"/>
          <w:sz w:val="32"/>
          <w:highlight w:val="none"/>
        </w:rPr>
      </w:pPr>
    </w:p>
    <w:p>
      <w:pPr>
        <w:rPr>
          <w:rFonts w:hint="eastAsia" w:ascii="宋体" w:hAnsi="宋体" w:eastAsia="宋体" w:cs="宋体"/>
          <w:bCs/>
          <w:color w:val="000000" w:themeColor="text1"/>
          <w:sz w:val="32"/>
          <w:highlight w:val="none"/>
        </w:rPr>
      </w:pPr>
    </w:p>
    <w:p>
      <w:pPr>
        <w:jc w:val="center"/>
        <w:rPr>
          <w:rFonts w:hint="eastAsia" w:ascii="宋体" w:hAnsi="宋体" w:eastAsia="宋体" w:cs="宋体"/>
          <w:bCs/>
          <w:color w:val="000000" w:themeColor="text1"/>
          <w:sz w:val="84"/>
          <w:szCs w:val="84"/>
          <w:highlight w:val="none"/>
        </w:rPr>
      </w:pPr>
      <w:bookmarkStart w:id="56" w:name="_Toc55147053"/>
      <w:r>
        <w:rPr>
          <w:rFonts w:hint="eastAsia" w:ascii="宋体" w:hAnsi="宋体" w:eastAsia="宋体" w:cs="宋体"/>
          <w:bCs/>
          <w:color w:val="000000" w:themeColor="text1"/>
          <w:sz w:val="84"/>
          <w:szCs w:val="84"/>
          <w:highlight w:val="none"/>
        </w:rPr>
        <w:t>响 应 文 件</w:t>
      </w:r>
    </w:p>
    <w:p>
      <w:pPr>
        <w:jc w:val="center"/>
        <w:rPr>
          <w:rFonts w:hint="eastAsia" w:ascii="宋体" w:hAnsi="宋体" w:eastAsia="宋体" w:cs="宋体"/>
          <w:bCs/>
          <w:color w:val="000000" w:themeColor="text1"/>
          <w:sz w:val="72"/>
          <w:highlight w:val="none"/>
        </w:rPr>
      </w:pPr>
    </w:p>
    <w:p>
      <w:pPr>
        <w:jc w:val="center"/>
        <w:rPr>
          <w:rFonts w:hint="eastAsia" w:ascii="宋体" w:hAnsi="宋体" w:eastAsia="宋体" w:cs="宋体"/>
          <w:bCs/>
          <w:color w:val="000000" w:themeColor="text1"/>
          <w:sz w:val="72"/>
          <w:highlight w:val="none"/>
        </w:rPr>
      </w:pPr>
    </w:p>
    <w:p>
      <w:pPr>
        <w:jc w:val="center"/>
        <w:rPr>
          <w:rFonts w:hint="eastAsia" w:ascii="宋体" w:hAnsi="宋体" w:eastAsia="宋体" w:cs="宋体"/>
          <w:bCs/>
          <w:color w:val="000000" w:themeColor="text1"/>
          <w:sz w:val="72"/>
          <w:highlight w:val="none"/>
        </w:rPr>
      </w:pPr>
    </w:p>
    <w:p>
      <w:pPr>
        <w:rPr>
          <w:rFonts w:hint="eastAsia" w:ascii="宋体" w:hAnsi="宋体" w:eastAsia="宋体" w:cs="宋体"/>
          <w:bCs/>
          <w:color w:val="000000" w:themeColor="text1"/>
          <w:sz w:val="72"/>
          <w:highlight w:val="none"/>
        </w:rPr>
      </w:pPr>
    </w:p>
    <w:p>
      <w:pPr>
        <w:jc w:val="center"/>
        <w:rPr>
          <w:rFonts w:hint="eastAsia" w:ascii="宋体" w:hAnsi="宋体" w:eastAsia="宋体" w:cs="宋体"/>
          <w:bCs/>
          <w:color w:val="000000" w:themeColor="text1"/>
          <w:sz w:val="28"/>
          <w:highlight w:val="none"/>
        </w:rPr>
      </w:pPr>
    </w:p>
    <w:p>
      <w:pPr>
        <w:jc w:val="center"/>
        <w:rPr>
          <w:rFonts w:hint="eastAsia" w:ascii="宋体" w:hAnsi="宋体" w:eastAsia="宋体" w:cs="宋体"/>
          <w:bCs/>
          <w:color w:val="000000" w:themeColor="text1"/>
          <w:sz w:val="36"/>
          <w:szCs w:val="36"/>
          <w:highlight w:val="none"/>
        </w:rPr>
      </w:pPr>
      <w:r>
        <w:rPr>
          <w:rFonts w:hint="eastAsia" w:ascii="宋体" w:hAnsi="宋体" w:eastAsia="宋体" w:cs="宋体"/>
          <w:bCs/>
          <w:color w:val="000000" w:themeColor="text1"/>
          <w:sz w:val="36"/>
          <w:szCs w:val="36"/>
          <w:highlight w:val="none"/>
        </w:rPr>
        <w:t>项 目 编 号：</w:t>
      </w:r>
    </w:p>
    <w:p>
      <w:pPr>
        <w:jc w:val="center"/>
        <w:rPr>
          <w:rFonts w:hint="eastAsia" w:ascii="宋体" w:hAnsi="宋体" w:eastAsia="宋体" w:cs="宋体"/>
          <w:bCs/>
          <w:color w:val="000000" w:themeColor="text1"/>
          <w:sz w:val="36"/>
          <w:szCs w:val="36"/>
          <w:highlight w:val="none"/>
        </w:rPr>
      </w:pPr>
      <w:r>
        <w:rPr>
          <w:rFonts w:hint="eastAsia" w:ascii="宋体" w:hAnsi="宋体" w:eastAsia="宋体" w:cs="宋体"/>
          <w:bCs/>
          <w:color w:val="000000" w:themeColor="text1"/>
          <w:sz w:val="36"/>
          <w:szCs w:val="36"/>
          <w:highlight w:val="none"/>
        </w:rPr>
        <w:t>项 目 名 称：</w:t>
      </w:r>
    </w:p>
    <w:p>
      <w:pPr>
        <w:jc w:val="center"/>
        <w:rPr>
          <w:rFonts w:hint="eastAsia" w:ascii="宋体" w:hAnsi="宋体" w:eastAsia="宋体" w:cs="宋体"/>
          <w:bCs/>
          <w:color w:val="000000" w:themeColor="text1"/>
          <w:sz w:val="36"/>
          <w:szCs w:val="36"/>
          <w:highlight w:val="none"/>
        </w:rPr>
      </w:pPr>
      <w:r>
        <w:rPr>
          <w:rFonts w:hint="eastAsia" w:ascii="宋体" w:hAnsi="宋体" w:eastAsia="宋体" w:cs="宋体"/>
          <w:bCs/>
          <w:color w:val="000000" w:themeColor="text1"/>
          <w:sz w:val="36"/>
          <w:szCs w:val="36"/>
          <w:highlight w:val="none"/>
        </w:rPr>
        <w:t>报   价  人：</w:t>
      </w:r>
    </w:p>
    <w:p>
      <w:pPr>
        <w:jc w:val="center"/>
        <w:rPr>
          <w:rFonts w:hint="eastAsia" w:ascii="宋体" w:hAnsi="宋体" w:eastAsia="宋体" w:cs="宋体"/>
          <w:bCs/>
          <w:color w:val="000000" w:themeColor="text1"/>
          <w:sz w:val="36"/>
          <w:szCs w:val="36"/>
          <w:highlight w:val="none"/>
        </w:rPr>
      </w:pPr>
      <w:r>
        <w:rPr>
          <w:rFonts w:hint="eastAsia" w:ascii="宋体" w:hAnsi="宋体" w:eastAsia="宋体" w:cs="宋体"/>
          <w:bCs/>
          <w:color w:val="000000" w:themeColor="text1"/>
          <w:sz w:val="36"/>
          <w:szCs w:val="36"/>
          <w:highlight w:val="none"/>
        </w:rPr>
        <w:t>日       期：</w:t>
      </w:r>
    </w:p>
    <w:p>
      <w:pPr>
        <w:widowControl/>
        <w:jc w:val="left"/>
        <w:rPr>
          <w:rFonts w:hint="eastAsia" w:ascii="宋体" w:hAnsi="宋体" w:eastAsia="宋体" w:cs="宋体"/>
          <w:bCs/>
          <w:color w:val="000000" w:themeColor="text1"/>
          <w:sz w:val="36"/>
          <w:szCs w:val="36"/>
          <w:highlight w:val="none"/>
        </w:rPr>
      </w:pP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bookmarkEnd w:id="56"/>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一、供应商情况说明</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供应商简要情况介绍，含供应商规模、银行资信、技术能力及装备水平等、人员情况。供应商自行以文字形式说明。</w:t>
      </w:r>
    </w:p>
    <w:p>
      <w:pPr>
        <w:snapToGrid w:val="0"/>
        <w:spacing w:line="360" w:lineRule="auto"/>
        <w:rPr>
          <w:rFonts w:hint="eastAsia" w:ascii="宋体" w:hAnsi="宋体" w:eastAsia="宋体" w:cs="宋体"/>
          <w:sz w:val="24"/>
          <w:szCs w:val="24"/>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widowControl/>
        <w:jc w:val="lef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二、资格审查响应对照表</w:t>
      </w:r>
    </w:p>
    <w:tbl>
      <w:tblPr>
        <w:tblStyle w:val="31"/>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953"/>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47" w:type="dxa"/>
            <w:vAlign w:val="center"/>
          </w:tcPr>
          <w:p>
            <w:pPr>
              <w:snapToGrid w:val="0"/>
              <w:spacing w:line="240" w:lineRule="atLeas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资格审查响应内容</w:t>
            </w:r>
          </w:p>
        </w:tc>
        <w:tc>
          <w:tcPr>
            <w:tcW w:w="1953" w:type="dxa"/>
            <w:vAlign w:val="center"/>
          </w:tcPr>
          <w:p>
            <w:pPr>
              <w:snapToGrid w:val="0"/>
              <w:spacing w:line="240" w:lineRule="atLeas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是否响应</w:t>
            </w:r>
          </w:p>
          <w:p>
            <w:pPr>
              <w:snapToGrid w:val="0"/>
              <w:spacing w:line="240" w:lineRule="atLeas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（填是或者否）</w:t>
            </w:r>
          </w:p>
        </w:tc>
        <w:tc>
          <w:tcPr>
            <w:tcW w:w="1785" w:type="dxa"/>
            <w:vAlign w:val="center"/>
          </w:tcPr>
          <w:p>
            <w:pPr>
              <w:snapToGrid w:val="0"/>
              <w:spacing w:line="240" w:lineRule="atLeas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响应文件中</w:t>
            </w:r>
          </w:p>
          <w:p>
            <w:pPr>
              <w:snapToGrid w:val="0"/>
              <w:spacing w:line="240" w:lineRule="atLeas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31" w:type="dxa"/>
            <w:gridSpan w:val="4"/>
            <w:vAlign w:val="center"/>
          </w:tcPr>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447" w:type="dxa"/>
            <w:vAlign w:val="center"/>
          </w:tcPr>
          <w:p>
            <w:pPr>
              <w:spacing w:line="0" w:lineRule="atLeast"/>
              <w:rPr>
                <w:rFonts w:hint="eastAsia" w:ascii="宋体" w:hAnsi="宋体" w:eastAsia="宋体" w:cs="宋体"/>
                <w:iCs/>
                <w:sz w:val="24"/>
                <w:szCs w:val="24"/>
                <w:highlight w:val="none"/>
              </w:rPr>
            </w:pPr>
            <w:r>
              <w:rPr>
                <w:rFonts w:hint="eastAsia" w:ascii="宋体" w:hAnsi="宋体" w:eastAsia="宋体" w:cs="宋体"/>
                <w:iCs/>
                <w:sz w:val="24"/>
                <w:szCs w:val="24"/>
                <w:highlight w:val="none"/>
              </w:rPr>
              <w:t>法定代表人资格证明书/法定代表人授权委托书</w:t>
            </w:r>
          </w:p>
        </w:tc>
        <w:tc>
          <w:tcPr>
            <w:tcW w:w="1953" w:type="dxa"/>
            <w:vAlign w:val="center"/>
          </w:tcPr>
          <w:p>
            <w:pPr>
              <w:rPr>
                <w:rFonts w:hint="eastAsia" w:ascii="宋体" w:hAnsi="宋体" w:eastAsia="宋体" w:cs="宋体"/>
                <w:b/>
                <w:sz w:val="24"/>
                <w:szCs w:val="24"/>
                <w:highlight w:val="none"/>
              </w:rPr>
            </w:pPr>
          </w:p>
        </w:tc>
        <w:tc>
          <w:tcPr>
            <w:tcW w:w="1785" w:type="dxa"/>
            <w:vAlign w:val="center"/>
          </w:tcPr>
          <w:p>
            <w:pPr>
              <w:rPr>
                <w:rFonts w:hint="eastAsia" w:ascii="宋体" w:hAnsi="宋体" w:eastAsia="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447" w:type="dxa"/>
            <w:vAlign w:val="center"/>
          </w:tcPr>
          <w:p>
            <w:pPr>
              <w:spacing w:line="0" w:lineRule="atLeast"/>
              <w:rPr>
                <w:rFonts w:hint="eastAsia" w:ascii="宋体" w:hAnsi="宋体" w:eastAsia="宋体" w:cs="宋体"/>
                <w:iCs/>
                <w:sz w:val="24"/>
                <w:szCs w:val="24"/>
                <w:highlight w:val="none"/>
              </w:rPr>
            </w:pPr>
            <w:r>
              <w:rPr>
                <w:rFonts w:hint="eastAsia" w:ascii="宋体" w:hAnsi="宋体" w:eastAsia="宋体" w:cs="宋体"/>
                <w:iCs/>
                <w:sz w:val="24"/>
                <w:szCs w:val="24"/>
                <w:highlight w:val="none"/>
              </w:rPr>
              <w:t>具有独立承担民事责任能力的供应商营业执照或相关部门的登记证明文件复印件</w:t>
            </w:r>
          </w:p>
        </w:tc>
        <w:tc>
          <w:tcPr>
            <w:tcW w:w="1953" w:type="dxa"/>
            <w:vAlign w:val="center"/>
          </w:tcPr>
          <w:p>
            <w:pPr>
              <w:rPr>
                <w:rFonts w:hint="eastAsia" w:ascii="宋体" w:hAnsi="宋体" w:eastAsia="宋体" w:cs="宋体"/>
                <w:sz w:val="24"/>
                <w:szCs w:val="24"/>
                <w:highlight w:val="none"/>
              </w:rPr>
            </w:pPr>
          </w:p>
        </w:tc>
        <w:tc>
          <w:tcPr>
            <w:tcW w:w="1785" w:type="dxa"/>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5447" w:type="dxa"/>
            <w:vAlign w:val="center"/>
          </w:tcPr>
          <w:p>
            <w:pPr>
              <w:snapToGrid w:val="0"/>
              <w:spacing w:line="0" w:lineRule="atLeast"/>
              <w:rPr>
                <w:rFonts w:hint="eastAsia" w:ascii="宋体" w:hAnsi="宋体" w:eastAsia="宋体" w:cs="宋体"/>
                <w:iCs/>
                <w:sz w:val="24"/>
                <w:szCs w:val="24"/>
                <w:highlight w:val="none"/>
              </w:rPr>
            </w:pPr>
            <w:r>
              <w:rPr>
                <w:rFonts w:hint="eastAsia" w:ascii="宋体" w:hAnsi="宋体" w:eastAsia="宋体" w:cs="宋体"/>
                <w:sz w:val="24"/>
                <w:highlight w:val="none"/>
              </w:rPr>
              <w:t>具备履行合同所必需的设备和专业技术能力的书面声明</w:t>
            </w:r>
          </w:p>
        </w:tc>
        <w:tc>
          <w:tcPr>
            <w:tcW w:w="1953" w:type="dxa"/>
            <w:vAlign w:val="center"/>
          </w:tcPr>
          <w:p>
            <w:pPr>
              <w:rPr>
                <w:rFonts w:hint="eastAsia" w:ascii="宋体" w:hAnsi="宋体" w:eastAsia="宋体" w:cs="宋体"/>
                <w:sz w:val="24"/>
                <w:szCs w:val="24"/>
                <w:highlight w:val="none"/>
              </w:rPr>
            </w:pPr>
          </w:p>
        </w:tc>
        <w:tc>
          <w:tcPr>
            <w:tcW w:w="1785" w:type="dxa"/>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5447" w:type="dxa"/>
            <w:vAlign w:val="center"/>
          </w:tcPr>
          <w:p>
            <w:pPr>
              <w:snapToGrid w:val="0"/>
              <w:spacing w:line="0" w:lineRule="atLeast"/>
              <w:rPr>
                <w:rFonts w:hint="eastAsia" w:ascii="宋体" w:hAnsi="宋体" w:eastAsia="宋体" w:cs="宋体"/>
                <w:iCs/>
                <w:sz w:val="24"/>
                <w:szCs w:val="24"/>
                <w:highlight w:val="none"/>
              </w:rPr>
            </w:pPr>
            <w:r>
              <w:rPr>
                <w:rFonts w:hint="eastAsia" w:ascii="宋体" w:hAnsi="宋体" w:eastAsia="宋体" w:cs="宋体"/>
                <w:sz w:val="24"/>
                <w:highlight w:val="none"/>
              </w:rPr>
              <w:t>参加政府采购活动前 3 年内在经营活动中没有重大违法记录的书面声明</w:t>
            </w:r>
          </w:p>
        </w:tc>
        <w:tc>
          <w:tcPr>
            <w:tcW w:w="1953" w:type="dxa"/>
            <w:vAlign w:val="center"/>
          </w:tcPr>
          <w:p>
            <w:pPr>
              <w:rPr>
                <w:rFonts w:hint="eastAsia" w:ascii="宋体" w:hAnsi="宋体" w:eastAsia="宋体" w:cs="宋体"/>
                <w:sz w:val="24"/>
                <w:szCs w:val="24"/>
                <w:highlight w:val="none"/>
              </w:rPr>
            </w:pPr>
          </w:p>
        </w:tc>
        <w:tc>
          <w:tcPr>
            <w:tcW w:w="1785" w:type="dxa"/>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5447" w:type="dxa"/>
            <w:vAlign w:val="center"/>
          </w:tcPr>
          <w:p>
            <w:pPr>
              <w:snapToGrid w:val="0"/>
              <w:spacing w:line="0" w:lineRule="atLeast"/>
              <w:rPr>
                <w:rFonts w:hint="eastAsia" w:ascii="宋体" w:hAnsi="宋体" w:eastAsia="宋体" w:cs="宋体"/>
                <w:iCs/>
                <w:sz w:val="24"/>
                <w:szCs w:val="24"/>
                <w:highlight w:val="none"/>
              </w:rPr>
            </w:pPr>
            <w:r>
              <w:rPr>
                <w:rFonts w:hint="eastAsia" w:ascii="宋体" w:hAnsi="宋体" w:eastAsia="宋体" w:cs="宋体"/>
                <w:iCs/>
                <w:sz w:val="24"/>
                <w:szCs w:val="24"/>
                <w:highlight w:val="none"/>
              </w:rPr>
              <w:t>……</w:t>
            </w:r>
          </w:p>
        </w:tc>
        <w:tc>
          <w:tcPr>
            <w:tcW w:w="1953" w:type="dxa"/>
            <w:vAlign w:val="center"/>
          </w:tcPr>
          <w:p>
            <w:pPr>
              <w:rPr>
                <w:rFonts w:hint="eastAsia" w:ascii="宋体" w:hAnsi="宋体" w:eastAsia="宋体" w:cs="宋体"/>
                <w:sz w:val="24"/>
                <w:szCs w:val="24"/>
                <w:highlight w:val="none"/>
              </w:rPr>
            </w:pPr>
          </w:p>
        </w:tc>
        <w:tc>
          <w:tcPr>
            <w:tcW w:w="1785" w:type="dxa"/>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1" w:type="dxa"/>
            <w:gridSpan w:val="4"/>
            <w:vAlign w:val="center"/>
          </w:tcPr>
          <w:p>
            <w:pPr>
              <w:rPr>
                <w:rFonts w:hint="eastAsia" w:ascii="宋体" w:hAnsi="宋体" w:eastAsia="宋体" w:cs="宋体"/>
                <w:sz w:val="24"/>
                <w:szCs w:val="24"/>
                <w:highlight w:val="none"/>
              </w:rPr>
            </w:pPr>
            <w:r>
              <w:rPr>
                <w:rFonts w:hint="eastAsia" w:ascii="宋体" w:hAnsi="宋体" w:eastAsia="宋体" w:cs="宋体"/>
                <w:b/>
                <w:sz w:val="24"/>
                <w:szCs w:val="24"/>
                <w:highlight w:val="none"/>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5447" w:type="dxa"/>
            <w:vAlign w:val="center"/>
          </w:tcPr>
          <w:p>
            <w:pPr>
              <w:snapToGrid w:val="0"/>
              <w:spacing w:line="0" w:lineRule="atLeast"/>
              <w:jc w:val="left"/>
              <w:rPr>
                <w:rFonts w:hint="eastAsia" w:ascii="宋体" w:hAnsi="宋体" w:eastAsia="宋体" w:cs="宋体"/>
                <w:iCs/>
                <w:sz w:val="24"/>
                <w:szCs w:val="24"/>
                <w:highlight w:val="none"/>
              </w:rPr>
            </w:pPr>
            <w:r>
              <w:rPr>
                <w:rFonts w:hint="eastAsia" w:ascii="宋体" w:hAnsi="宋体" w:eastAsia="宋体" w:cs="宋体"/>
                <w:iCs/>
                <w:sz w:val="24"/>
                <w:szCs w:val="24"/>
                <w:highlight w:val="none"/>
              </w:rPr>
              <w:t>未被“信用中国”网站（www.creditchina.gov.cn）列入失信被执行人、重大税收违法案件当事人名单、政府采购严重失信行为记录名单（提供网页截图）</w:t>
            </w:r>
          </w:p>
        </w:tc>
        <w:tc>
          <w:tcPr>
            <w:tcW w:w="1953" w:type="dxa"/>
            <w:vAlign w:val="center"/>
          </w:tcPr>
          <w:p>
            <w:pPr>
              <w:rPr>
                <w:rFonts w:hint="eastAsia" w:ascii="宋体" w:hAnsi="宋体" w:eastAsia="宋体" w:cs="宋体"/>
                <w:sz w:val="24"/>
                <w:szCs w:val="24"/>
                <w:highlight w:val="none"/>
              </w:rPr>
            </w:pPr>
          </w:p>
        </w:tc>
        <w:tc>
          <w:tcPr>
            <w:tcW w:w="1785" w:type="dxa"/>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5447" w:type="dxa"/>
            <w:vAlign w:val="center"/>
          </w:tcPr>
          <w:p>
            <w:pPr>
              <w:snapToGrid w:val="0"/>
              <w:spacing w:line="0" w:lineRule="atLeast"/>
              <w:jc w:val="left"/>
              <w:rPr>
                <w:rFonts w:hint="eastAsia" w:ascii="宋体" w:hAnsi="宋体" w:eastAsia="宋体" w:cs="宋体"/>
                <w:iCs/>
                <w:sz w:val="24"/>
                <w:szCs w:val="24"/>
                <w:highlight w:val="none"/>
              </w:rPr>
            </w:pPr>
            <w:r>
              <w:rPr>
                <w:rFonts w:hint="eastAsia" w:ascii="宋体" w:hAnsi="宋体" w:eastAsia="宋体" w:cs="宋体"/>
                <w:sz w:val="24"/>
                <w:highlight w:val="none"/>
              </w:rPr>
              <w:t>投标人资格要求涉及的其它证明材料</w:t>
            </w:r>
          </w:p>
        </w:tc>
        <w:tc>
          <w:tcPr>
            <w:tcW w:w="1953" w:type="dxa"/>
            <w:vAlign w:val="center"/>
          </w:tcPr>
          <w:p>
            <w:pPr>
              <w:rPr>
                <w:rFonts w:hint="eastAsia" w:ascii="宋体" w:hAnsi="宋体" w:eastAsia="宋体" w:cs="宋体"/>
                <w:sz w:val="24"/>
                <w:szCs w:val="24"/>
                <w:highlight w:val="none"/>
              </w:rPr>
            </w:pPr>
          </w:p>
        </w:tc>
        <w:tc>
          <w:tcPr>
            <w:tcW w:w="1785" w:type="dxa"/>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hint="eastAsia" w:ascii="宋体" w:hAnsi="宋体" w:eastAsia="宋体" w:cs="宋体"/>
                <w:highlight w:val="none"/>
              </w:rPr>
            </w:pPr>
            <w:r>
              <w:rPr>
                <w:rFonts w:hint="eastAsia" w:ascii="宋体" w:hAnsi="宋体" w:eastAsia="宋体" w:cs="宋体"/>
                <w:highlight w:val="none"/>
              </w:rPr>
              <w:t>…</w:t>
            </w:r>
          </w:p>
        </w:tc>
        <w:tc>
          <w:tcPr>
            <w:tcW w:w="5447" w:type="dxa"/>
            <w:vAlign w:val="center"/>
          </w:tcPr>
          <w:p>
            <w:pPr>
              <w:snapToGrid w:val="0"/>
              <w:spacing w:line="0" w:lineRule="atLeast"/>
              <w:jc w:val="left"/>
              <w:rPr>
                <w:rFonts w:hint="eastAsia" w:ascii="宋体" w:hAnsi="宋体" w:eastAsia="宋体" w:cs="宋体"/>
                <w:sz w:val="24"/>
                <w:highlight w:val="none"/>
              </w:rPr>
            </w:pPr>
            <w:r>
              <w:rPr>
                <w:rFonts w:hint="eastAsia" w:ascii="宋体" w:hAnsi="宋体" w:eastAsia="宋体" w:cs="宋体"/>
                <w:sz w:val="24"/>
                <w:highlight w:val="none"/>
              </w:rPr>
              <w:t>……</w:t>
            </w:r>
          </w:p>
        </w:tc>
        <w:tc>
          <w:tcPr>
            <w:tcW w:w="1953" w:type="dxa"/>
            <w:vAlign w:val="center"/>
          </w:tcPr>
          <w:p>
            <w:pPr>
              <w:rPr>
                <w:rFonts w:hint="eastAsia" w:ascii="宋体" w:hAnsi="宋体" w:eastAsia="宋体" w:cs="宋体"/>
                <w:sz w:val="24"/>
                <w:szCs w:val="24"/>
                <w:highlight w:val="none"/>
              </w:rPr>
            </w:pPr>
          </w:p>
        </w:tc>
        <w:tc>
          <w:tcPr>
            <w:tcW w:w="1785" w:type="dxa"/>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831" w:type="dxa"/>
            <w:gridSpan w:val="4"/>
            <w:vAlign w:val="center"/>
          </w:tcPr>
          <w:p>
            <w:pPr>
              <w:rPr>
                <w:rFonts w:hint="eastAsia" w:ascii="宋体" w:hAnsi="宋体" w:eastAsia="宋体" w:cs="宋体"/>
                <w:sz w:val="24"/>
                <w:szCs w:val="24"/>
                <w:highlight w:val="none"/>
              </w:rPr>
            </w:pPr>
            <w:r>
              <w:rPr>
                <w:rFonts w:hint="eastAsia" w:ascii="宋体" w:hAnsi="宋体" w:eastAsia="宋体" w:cs="宋体"/>
                <w:b/>
                <w:sz w:val="24"/>
                <w:szCs w:val="24"/>
                <w:highlight w:val="none"/>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5447" w:type="dxa"/>
            <w:vAlign w:val="center"/>
          </w:tcPr>
          <w:p>
            <w:pPr>
              <w:snapToGrid w:val="0"/>
              <w:spacing w:line="0" w:lineRule="atLeast"/>
              <w:jc w:val="left"/>
              <w:rPr>
                <w:rFonts w:hint="eastAsia" w:ascii="宋体" w:hAnsi="宋体" w:eastAsia="宋体" w:cs="宋体"/>
                <w:iCs/>
                <w:sz w:val="24"/>
                <w:szCs w:val="24"/>
                <w:highlight w:val="none"/>
              </w:rPr>
            </w:pPr>
            <w:r>
              <w:rPr>
                <w:rFonts w:hint="eastAsia" w:ascii="宋体" w:hAnsi="宋体" w:eastAsia="宋体" w:cs="宋体"/>
                <w:iCs/>
                <w:sz w:val="24"/>
                <w:szCs w:val="24"/>
                <w:highlight w:val="none"/>
              </w:rPr>
              <w:t>关于资格的声明函</w:t>
            </w:r>
          </w:p>
        </w:tc>
        <w:tc>
          <w:tcPr>
            <w:tcW w:w="1953" w:type="dxa"/>
            <w:vAlign w:val="center"/>
          </w:tcPr>
          <w:p>
            <w:pPr>
              <w:rPr>
                <w:rFonts w:hint="eastAsia" w:ascii="宋体" w:hAnsi="宋体" w:eastAsia="宋体" w:cs="宋体"/>
                <w:sz w:val="24"/>
                <w:szCs w:val="24"/>
                <w:highlight w:val="none"/>
              </w:rPr>
            </w:pPr>
          </w:p>
        </w:tc>
        <w:tc>
          <w:tcPr>
            <w:tcW w:w="1785" w:type="dxa"/>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5447" w:type="dxa"/>
            <w:vAlign w:val="center"/>
          </w:tcPr>
          <w:p>
            <w:pPr>
              <w:snapToGrid w:val="0"/>
              <w:spacing w:line="0" w:lineRule="atLeast"/>
              <w:jc w:val="left"/>
              <w:rPr>
                <w:rFonts w:hint="eastAsia" w:ascii="宋体" w:hAnsi="宋体" w:eastAsia="宋体" w:cs="宋体"/>
                <w:iCs/>
                <w:sz w:val="24"/>
                <w:szCs w:val="24"/>
                <w:highlight w:val="none"/>
              </w:rPr>
            </w:pPr>
            <w:r>
              <w:rPr>
                <w:rFonts w:hint="eastAsia" w:ascii="宋体" w:hAnsi="宋体" w:eastAsia="宋体" w:cs="宋体"/>
                <w:iCs/>
                <w:sz w:val="24"/>
                <w:szCs w:val="24"/>
                <w:highlight w:val="none"/>
              </w:rPr>
              <w:t>响应函</w:t>
            </w:r>
          </w:p>
        </w:tc>
        <w:tc>
          <w:tcPr>
            <w:tcW w:w="1953" w:type="dxa"/>
            <w:vAlign w:val="center"/>
          </w:tcPr>
          <w:p>
            <w:pPr>
              <w:rPr>
                <w:rFonts w:hint="eastAsia" w:ascii="宋体" w:hAnsi="宋体" w:eastAsia="宋体" w:cs="宋体"/>
                <w:sz w:val="24"/>
                <w:szCs w:val="24"/>
                <w:highlight w:val="none"/>
              </w:rPr>
            </w:pPr>
          </w:p>
        </w:tc>
        <w:tc>
          <w:tcPr>
            <w:tcW w:w="1785" w:type="dxa"/>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hint="eastAsia" w:ascii="宋体" w:hAnsi="宋体" w:eastAsia="宋体" w:cs="宋体"/>
                <w:sz w:val="24"/>
                <w:szCs w:val="24"/>
                <w:highlight w:val="none"/>
              </w:rPr>
            </w:pPr>
          </w:p>
        </w:tc>
        <w:tc>
          <w:tcPr>
            <w:tcW w:w="5447" w:type="dxa"/>
            <w:vAlign w:val="center"/>
          </w:tcPr>
          <w:p>
            <w:pPr>
              <w:snapToGrid w:val="0"/>
              <w:spacing w:line="0" w:lineRule="atLeast"/>
              <w:jc w:val="left"/>
              <w:rPr>
                <w:rFonts w:hint="eastAsia" w:ascii="宋体" w:hAnsi="宋体" w:eastAsia="宋体" w:cs="宋体"/>
                <w:iCs/>
                <w:sz w:val="24"/>
                <w:szCs w:val="24"/>
                <w:highlight w:val="none"/>
              </w:rPr>
            </w:pPr>
            <w:r>
              <w:rPr>
                <w:rFonts w:hint="eastAsia" w:ascii="宋体" w:hAnsi="宋体" w:eastAsia="宋体" w:cs="宋体"/>
                <w:iCs/>
                <w:sz w:val="24"/>
                <w:szCs w:val="24"/>
                <w:highlight w:val="none"/>
              </w:rPr>
              <w:t>……</w:t>
            </w:r>
          </w:p>
        </w:tc>
        <w:tc>
          <w:tcPr>
            <w:tcW w:w="1953" w:type="dxa"/>
            <w:vAlign w:val="center"/>
          </w:tcPr>
          <w:p>
            <w:pPr>
              <w:rPr>
                <w:rFonts w:hint="eastAsia" w:ascii="宋体" w:hAnsi="宋体" w:eastAsia="宋体" w:cs="宋体"/>
                <w:sz w:val="24"/>
                <w:szCs w:val="24"/>
                <w:highlight w:val="none"/>
              </w:rPr>
            </w:pPr>
          </w:p>
        </w:tc>
        <w:tc>
          <w:tcPr>
            <w:tcW w:w="1785" w:type="dxa"/>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hint="eastAsia" w:ascii="宋体" w:hAnsi="宋体" w:eastAsia="宋体" w:cs="宋体"/>
                <w:sz w:val="24"/>
                <w:szCs w:val="24"/>
                <w:highlight w:val="none"/>
              </w:rPr>
            </w:pPr>
          </w:p>
        </w:tc>
        <w:tc>
          <w:tcPr>
            <w:tcW w:w="5447" w:type="dxa"/>
            <w:vAlign w:val="center"/>
          </w:tcPr>
          <w:p>
            <w:pPr>
              <w:snapToGrid w:val="0"/>
              <w:spacing w:line="0" w:lineRule="atLeast"/>
              <w:jc w:val="left"/>
              <w:rPr>
                <w:rFonts w:hint="eastAsia" w:ascii="宋体" w:hAnsi="宋体" w:eastAsia="宋体" w:cs="宋体"/>
                <w:sz w:val="24"/>
                <w:szCs w:val="24"/>
                <w:highlight w:val="none"/>
              </w:rPr>
            </w:pPr>
          </w:p>
        </w:tc>
        <w:tc>
          <w:tcPr>
            <w:tcW w:w="1953" w:type="dxa"/>
            <w:vAlign w:val="center"/>
          </w:tcPr>
          <w:p>
            <w:pPr>
              <w:rPr>
                <w:rFonts w:hint="eastAsia" w:ascii="宋体" w:hAnsi="宋体" w:eastAsia="宋体" w:cs="宋体"/>
                <w:sz w:val="24"/>
                <w:szCs w:val="24"/>
                <w:highlight w:val="none"/>
              </w:rPr>
            </w:pPr>
          </w:p>
        </w:tc>
        <w:tc>
          <w:tcPr>
            <w:tcW w:w="1785" w:type="dxa"/>
            <w:vAlign w:val="center"/>
          </w:tcPr>
          <w:p>
            <w:pPr>
              <w:rPr>
                <w:rFonts w:hint="eastAsia" w:ascii="宋体" w:hAnsi="宋体" w:eastAsia="宋体" w:cs="宋体"/>
                <w:sz w:val="24"/>
                <w:szCs w:val="24"/>
                <w:highlight w:val="none"/>
              </w:rPr>
            </w:pPr>
          </w:p>
        </w:tc>
      </w:tr>
    </w:tbl>
    <w:p>
      <w:pPr>
        <w:spacing w:line="360" w:lineRule="auto"/>
        <w:rPr>
          <w:rFonts w:hint="eastAsia" w:ascii="宋体" w:hAnsi="宋体" w:eastAsia="宋体" w:cs="宋体"/>
          <w:sz w:val="28"/>
          <w:szCs w:val="28"/>
          <w:highlight w:val="none"/>
        </w:rPr>
      </w:pPr>
    </w:p>
    <w:p>
      <w:pPr>
        <w:widowControl/>
        <w:jc w:val="lef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三、资格、资信证明文件</w:t>
      </w:r>
    </w:p>
    <w:p>
      <w:pPr>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b/>
          <w:bCs/>
          <w:sz w:val="24"/>
          <w:szCs w:val="24"/>
          <w:highlight w:val="none"/>
        </w:rPr>
        <w:t>1、资格证明文件目录</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文件1  </w:t>
      </w:r>
      <w:r>
        <w:rPr>
          <w:rFonts w:hint="eastAsia" w:ascii="宋体" w:hAnsi="宋体" w:eastAsia="宋体" w:cs="宋体"/>
          <w:sz w:val="24"/>
          <w:szCs w:val="24"/>
          <w:highlight w:val="none"/>
        </w:rPr>
        <w:t>法人或者其他组织的营业执照等证明文件，自然人的身份证明（复印件，如投标人组成联合体投标，参加联合体的各方均需提供）</w:t>
      </w:r>
    </w:p>
    <w:p>
      <w:pPr>
        <w:snapToGrid w:val="0"/>
        <w:spacing w:line="360" w:lineRule="auto"/>
        <w:ind w:firstLine="480"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文件2  </w:t>
      </w:r>
      <w:r>
        <w:rPr>
          <w:rFonts w:hint="eastAsia" w:ascii="宋体" w:hAnsi="宋体" w:eastAsia="宋体" w:cs="宋体"/>
          <w:sz w:val="24"/>
          <w:szCs w:val="24"/>
          <w:highlight w:val="none"/>
        </w:rPr>
        <w:t>具备履行合同所必需的设备和专业技术能力的书面声明（如投标人组成联合体投标，参加联合体的各方均需提供）</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文件3  </w:t>
      </w:r>
      <w:r>
        <w:rPr>
          <w:rFonts w:hint="eastAsia" w:ascii="宋体" w:hAnsi="宋体" w:eastAsia="宋体" w:cs="宋体"/>
          <w:sz w:val="24"/>
          <w:szCs w:val="24"/>
          <w:highlight w:val="none"/>
        </w:rPr>
        <w:t>参加政府采购活动前 3 年内在经营活动中没有重大违法记录的书面声明（如投标人组成联合体投标，参加联合体的各方均需提供）</w:t>
      </w:r>
    </w:p>
    <w:p>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文件4  </w:t>
      </w:r>
      <w:r>
        <w:rPr>
          <w:rFonts w:hint="eastAsia" w:ascii="宋体" w:hAnsi="宋体" w:eastAsia="宋体" w:cs="宋体"/>
          <w:sz w:val="24"/>
          <w:szCs w:val="24"/>
          <w:highlight w:val="none"/>
        </w:rPr>
        <w:t>响应函（原件，如投标人组成联合体投标，参加联合体的各方均需加盖公章）</w:t>
      </w:r>
    </w:p>
    <w:p>
      <w:pPr>
        <w:snapToGrid w:val="0"/>
        <w:spacing w:line="360" w:lineRule="auto"/>
        <w:ind w:firstLine="480"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文件5  </w:t>
      </w:r>
      <w:r>
        <w:rPr>
          <w:rFonts w:hint="eastAsia" w:ascii="宋体" w:hAnsi="宋体" w:eastAsia="宋体" w:cs="宋体"/>
          <w:sz w:val="24"/>
          <w:szCs w:val="24"/>
          <w:highlight w:val="none"/>
        </w:rPr>
        <w:t>法定代表人资格证明书（原件，如投标人组成联合体投标，参加联合体的各方均需加盖公章）或法人授权委托书（原件，如投标人组成联合体投标，参加联合体的各方均需加盖公章）</w:t>
      </w:r>
    </w:p>
    <w:p>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文件8  </w:t>
      </w:r>
      <w:r>
        <w:rPr>
          <w:rFonts w:hint="eastAsia" w:ascii="宋体" w:hAnsi="宋体" w:eastAsia="宋体" w:cs="宋体"/>
          <w:sz w:val="24"/>
          <w:szCs w:val="24"/>
          <w:highlight w:val="none"/>
        </w:rPr>
        <w:t>联合体协议（以联合体形式参加投标的提供，参加联合体的各方均需加盖公章，原件）</w:t>
      </w:r>
    </w:p>
    <w:p>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文件9  </w:t>
      </w:r>
      <w:r>
        <w:rPr>
          <w:rFonts w:hint="eastAsia" w:ascii="宋体" w:hAnsi="宋体" w:eastAsia="宋体" w:cs="宋体"/>
          <w:sz w:val="24"/>
          <w:szCs w:val="24"/>
          <w:highlight w:val="none"/>
        </w:rPr>
        <w:t>本项目投标人资格要求涉及的其它证明材料（如有）</w:t>
      </w:r>
    </w:p>
    <w:p>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以上资格证明文件中要求加盖公章的，必须加盖公章；如供应商组成联合体参加投标，则联合体各方均须加盖公章，否则视为无效投标。</w:t>
      </w:r>
    </w:p>
    <w:p>
      <w:pPr>
        <w:snapToGrid w:val="0"/>
        <w:spacing w:line="360" w:lineRule="auto"/>
        <w:ind w:firstLine="200"/>
        <w:rPr>
          <w:rFonts w:hint="eastAsia" w:ascii="宋体" w:hAnsi="宋体" w:eastAsia="宋体" w:cs="宋体"/>
          <w:b/>
          <w:bCs/>
          <w:sz w:val="24"/>
          <w:highlight w:val="none"/>
        </w:rPr>
      </w:pPr>
    </w:p>
    <w:p>
      <w:pPr>
        <w:widowControl/>
        <w:jc w:val="lef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spacing w:line="580" w:lineRule="exact"/>
        <w:rPr>
          <w:rFonts w:hint="eastAsia" w:ascii="宋体" w:hAnsi="宋体" w:eastAsia="宋体" w:cs="宋体"/>
          <w:bCs/>
          <w:color w:val="000000" w:themeColor="text1"/>
          <w:sz w:val="28"/>
          <w:szCs w:val="28"/>
          <w:highlight w:val="none"/>
        </w:rPr>
      </w:pPr>
      <w:r>
        <w:rPr>
          <w:rFonts w:hint="eastAsia" w:ascii="宋体" w:hAnsi="宋体" w:eastAsia="宋体" w:cs="宋体"/>
          <w:sz w:val="28"/>
          <w:szCs w:val="28"/>
          <w:highlight w:val="none"/>
        </w:rPr>
        <w:t>四、</w:t>
      </w:r>
      <w:r>
        <w:rPr>
          <w:rFonts w:hint="eastAsia" w:ascii="宋体" w:hAnsi="宋体" w:eastAsia="宋体" w:cs="宋体"/>
          <w:bCs/>
          <w:color w:val="000000" w:themeColor="text1"/>
          <w:sz w:val="28"/>
          <w:szCs w:val="28"/>
          <w:highlight w:val="none"/>
        </w:rPr>
        <w:t>报价一览表</w:t>
      </w:r>
    </w:p>
    <w:p>
      <w:pPr>
        <w:spacing w:line="360" w:lineRule="auto"/>
        <w:rPr>
          <w:rFonts w:hint="eastAsia" w:ascii="宋体" w:hAnsi="宋体" w:eastAsia="宋体" w:cs="宋体"/>
          <w:bCs/>
          <w:color w:val="000000" w:themeColor="text1"/>
          <w:sz w:val="24"/>
          <w:szCs w:val="24"/>
          <w:highlight w:val="none"/>
        </w:rPr>
      </w:pPr>
    </w:p>
    <w:p>
      <w:pPr>
        <w:spacing w:line="360" w:lineRule="auto"/>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供应商名称（盖章）：</w:t>
      </w:r>
      <w:r>
        <w:rPr>
          <w:rFonts w:hint="eastAsia" w:ascii="宋体" w:hAnsi="宋体" w:eastAsia="宋体" w:cs="宋体"/>
          <w:bCs/>
          <w:color w:val="000000" w:themeColor="text1"/>
          <w:sz w:val="24"/>
          <w:szCs w:val="24"/>
          <w:highlight w:val="none"/>
          <w:u w:val="single"/>
        </w:rPr>
        <w:t xml:space="preserve">              </w:t>
      </w:r>
    </w:p>
    <w:p>
      <w:pPr>
        <w:spacing w:line="360" w:lineRule="auto"/>
        <w:rPr>
          <w:rFonts w:hint="eastAsia" w:ascii="宋体" w:hAnsi="宋体" w:eastAsia="宋体" w:cs="宋体"/>
          <w:bCs/>
          <w:color w:val="000000" w:themeColor="text1"/>
          <w:sz w:val="24"/>
          <w:szCs w:val="24"/>
          <w:highlight w:val="none"/>
          <w:u w:val="single"/>
        </w:rPr>
      </w:pPr>
      <w:r>
        <w:rPr>
          <w:rFonts w:hint="eastAsia" w:ascii="宋体" w:hAnsi="宋体" w:eastAsia="宋体" w:cs="宋体"/>
          <w:bCs/>
          <w:color w:val="000000" w:themeColor="text1"/>
          <w:sz w:val="24"/>
          <w:szCs w:val="24"/>
          <w:highlight w:val="none"/>
        </w:rPr>
        <w:t>采购项目编号：</w:t>
      </w:r>
      <w:r>
        <w:rPr>
          <w:rFonts w:hint="eastAsia" w:ascii="宋体" w:hAnsi="宋体" w:eastAsia="宋体" w:cs="宋体"/>
          <w:bCs/>
          <w:color w:val="000000" w:themeColor="text1"/>
          <w:sz w:val="24"/>
          <w:szCs w:val="24"/>
          <w:highlight w:val="none"/>
          <w:u w:val="single"/>
        </w:rPr>
        <w:t xml:space="preserve">                   </w:t>
      </w:r>
    </w:p>
    <w:p>
      <w:pPr>
        <w:spacing w:line="360" w:lineRule="auto"/>
        <w:rPr>
          <w:rFonts w:hint="eastAsia" w:ascii="宋体" w:hAnsi="宋体" w:eastAsia="宋体" w:cs="宋体"/>
          <w:bCs/>
          <w:color w:val="000000" w:themeColor="text1"/>
          <w:sz w:val="24"/>
          <w:szCs w:val="24"/>
          <w:highlight w:val="none"/>
        </w:rPr>
      </w:pPr>
    </w:p>
    <w:tbl>
      <w:tblPr>
        <w:tblStyle w:val="31"/>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项目名称</w:t>
            </w:r>
          </w:p>
        </w:tc>
        <w:tc>
          <w:tcPr>
            <w:tcW w:w="4515" w:type="dxa"/>
            <w:vAlign w:val="center"/>
          </w:tcPr>
          <w:p>
            <w:pPr>
              <w:autoSpaceDE w:val="0"/>
              <w:autoSpaceDN w:val="0"/>
              <w:adjustRightInd w:val="0"/>
              <w:jc w:val="center"/>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spacing w:line="400" w:lineRule="exact"/>
              <w:jc w:val="center"/>
              <w:rPr>
                <w:rFonts w:hint="eastAsia" w:ascii="宋体" w:hAnsi="宋体" w:eastAsia="宋体" w:cs="宋体"/>
                <w:bCs/>
                <w:color w:val="000000" w:themeColor="text1"/>
                <w:kern w:val="0"/>
                <w:sz w:val="24"/>
                <w:szCs w:val="24"/>
                <w:highlight w:val="none"/>
                <w:u w:color="000000"/>
              </w:rPr>
            </w:pPr>
          </w:p>
        </w:tc>
        <w:tc>
          <w:tcPr>
            <w:tcW w:w="4515" w:type="dxa"/>
            <w:vAlign w:val="center"/>
          </w:tcPr>
          <w:p>
            <w:pPr>
              <w:rPr>
                <w:rFonts w:hint="eastAsia" w:ascii="宋体" w:hAnsi="宋体" w:eastAsia="宋体" w:cs="宋体"/>
                <w:b/>
                <w:color w:val="000000" w:themeColor="text1"/>
                <w:kern w:val="0"/>
                <w:sz w:val="24"/>
                <w:szCs w:val="24"/>
                <w:highlight w:val="none"/>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2"/>
            <w:vAlign w:val="center"/>
          </w:tcPr>
          <w:p>
            <w:pPr>
              <w:rPr>
                <w:rFonts w:hint="eastAsia" w:ascii="宋体" w:hAnsi="宋体" w:eastAsia="宋体" w:cs="宋体"/>
                <w:bCs/>
                <w:color w:val="000000" w:themeColor="text1"/>
                <w:sz w:val="24"/>
                <w:szCs w:val="24"/>
                <w:highlight w:val="none"/>
              </w:rPr>
            </w:pPr>
            <w:r>
              <w:rPr>
                <w:rFonts w:hint="eastAsia" w:ascii="宋体" w:hAnsi="宋体" w:eastAsia="宋体" w:cs="宋体"/>
                <w:color w:val="000000" w:themeColor="text1"/>
                <w:sz w:val="24"/>
                <w:highlight w:val="none"/>
              </w:rPr>
              <w:t>总报价（大写）</w:t>
            </w:r>
            <w:r>
              <w:rPr>
                <w:rFonts w:hint="eastAsia" w:ascii="宋体" w:hAnsi="宋体" w:eastAsia="宋体" w:cs="宋体"/>
                <w:bCs/>
                <w:color w:val="000000" w:themeColor="text1"/>
                <w:kern w:val="0"/>
                <w:sz w:val="24"/>
                <w:szCs w:val="24"/>
                <w:highlight w:val="none"/>
                <w:u w:color="000000"/>
              </w:rPr>
              <w:t>：　　　</w:t>
            </w:r>
          </w:p>
        </w:tc>
      </w:tr>
    </w:tbl>
    <w:p>
      <w:pPr>
        <w:spacing w:before="5"/>
        <w:rPr>
          <w:rFonts w:hint="eastAsia" w:ascii="宋体" w:hAnsi="宋体" w:eastAsia="宋体" w:cs="宋体"/>
          <w:b/>
          <w:bCs/>
          <w:color w:val="000000" w:themeColor="text1"/>
          <w:sz w:val="24"/>
          <w:szCs w:val="24"/>
          <w:highlight w:val="none"/>
        </w:rPr>
      </w:pPr>
    </w:p>
    <w:p>
      <w:pPr>
        <w:spacing w:before="5"/>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法定代表人或被授权代表（签字或盖章）：</w:t>
      </w:r>
      <w:r>
        <w:rPr>
          <w:rFonts w:hint="eastAsia" w:ascii="宋体" w:hAnsi="宋体" w:eastAsia="宋体" w:cs="宋体"/>
          <w:b/>
          <w:bCs/>
          <w:color w:val="000000" w:themeColor="text1"/>
          <w:sz w:val="24"/>
          <w:szCs w:val="24"/>
          <w:highlight w:val="none"/>
          <w:u w:val="single"/>
        </w:rPr>
        <w:t xml:space="preserve">                               </w:t>
      </w:r>
      <w:r>
        <w:rPr>
          <w:rFonts w:hint="eastAsia" w:ascii="宋体" w:hAnsi="宋体" w:eastAsia="宋体" w:cs="宋体"/>
          <w:b/>
          <w:bCs/>
          <w:color w:val="000000" w:themeColor="text1"/>
          <w:sz w:val="24"/>
          <w:szCs w:val="24"/>
          <w:highlight w:val="none"/>
        </w:rPr>
        <w:t xml:space="preserve"> </w:t>
      </w:r>
    </w:p>
    <w:p>
      <w:pPr>
        <w:spacing w:line="400" w:lineRule="exact"/>
        <w:rPr>
          <w:rFonts w:hint="eastAsia" w:ascii="宋体" w:hAnsi="宋体" w:eastAsia="宋体" w:cs="宋体"/>
          <w:bCs/>
          <w:color w:val="000000" w:themeColor="text1"/>
          <w:sz w:val="32"/>
          <w:highlight w:val="none"/>
        </w:rPr>
      </w:pPr>
    </w:p>
    <w:p>
      <w:pPr>
        <w:rPr>
          <w:rFonts w:hint="eastAsia" w:ascii="宋体" w:hAnsi="宋体" w:eastAsia="宋体" w:cs="宋体"/>
          <w:sz w:val="28"/>
          <w:szCs w:val="28"/>
          <w:highlight w:val="none"/>
        </w:rPr>
      </w:pPr>
      <w:r>
        <w:rPr>
          <w:rFonts w:hint="eastAsia" w:ascii="宋体" w:hAnsi="宋体" w:eastAsia="宋体" w:cs="宋体"/>
          <w:b/>
          <w:sz w:val="44"/>
          <w:highlight w:val="none"/>
        </w:rPr>
        <w:br w:type="page"/>
      </w:r>
      <w:r>
        <w:rPr>
          <w:rFonts w:hint="eastAsia" w:ascii="宋体" w:hAnsi="宋体" w:eastAsia="宋体" w:cs="宋体"/>
          <w:sz w:val="28"/>
          <w:szCs w:val="28"/>
          <w:highlight w:val="none"/>
        </w:rPr>
        <w:t>五、明细报价表</w:t>
      </w:r>
    </w:p>
    <w:p>
      <w:pPr>
        <w:spacing w:line="400" w:lineRule="exact"/>
        <w:rPr>
          <w:rFonts w:hint="eastAsia" w:ascii="宋体" w:hAnsi="宋体" w:eastAsia="宋体" w:cs="宋体"/>
          <w:bCs/>
          <w:color w:val="000000" w:themeColor="text1"/>
          <w:sz w:val="24"/>
          <w:szCs w:val="24"/>
          <w:highlight w:val="none"/>
          <w:u w:val="single"/>
        </w:rPr>
      </w:pPr>
      <w:r>
        <w:rPr>
          <w:rFonts w:hint="eastAsia" w:ascii="宋体" w:hAnsi="宋体" w:eastAsia="宋体" w:cs="宋体"/>
          <w:bCs/>
          <w:color w:val="000000" w:themeColor="text1"/>
          <w:sz w:val="24"/>
          <w:szCs w:val="24"/>
          <w:highlight w:val="none"/>
        </w:rPr>
        <w:t>供应商名称（盖章）：</w:t>
      </w:r>
      <w:r>
        <w:rPr>
          <w:rFonts w:hint="eastAsia" w:ascii="宋体" w:hAnsi="宋体" w:eastAsia="宋体" w:cs="宋体"/>
          <w:bCs/>
          <w:color w:val="000000" w:themeColor="text1"/>
          <w:sz w:val="24"/>
          <w:szCs w:val="24"/>
          <w:highlight w:val="none"/>
          <w:u w:val="single"/>
        </w:rPr>
        <w:t xml:space="preserve">                         </w:t>
      </w:r>
      <w:r>
        <w:rPr>
          <w:rFonts w:hint="eastAsia" w:ascii="宋体" w:hAnsi="宋体" w:eastAsia="宋体" w:cs="宋体"/>
          <w:bCs/>
          <w:color w:val="000000" w:themeColor="text1"/>
          <w:sz w:val="24"/>
          <w:szCs w:val="24"/>
          <w:highlight w:val="none"/>
        </w:rPr>
        <w:t xml:space="preserve">     采购项目编号：</w:t>
      </w:r>
      <w:r>
        <w:rPr>
          <w:rFonts w:hint="eastAsia" w:ascii="宋体" w:hAnsi="宋体" w:eastAsia="宋体" w:cs="宋体"/>
          <w:bCs/>
          <w:color w:val="000000" w:themeColor="text1"/>
          <w:sz w:val="24"/>
          <w:szCs w:val="24"/>
          <w:highlight w:val="none"/>
          <w:u w:val="single"/>
        </w:rPr>
        <w:t xml:space="preserve">              </w:t>
      </w:r>
    </w:p>
    <w:p>
      <w:pPr>
        <w:spacing w:line="400" w:lineRule="exact"/>
        <w:rPr>
          <w:rFonts w:hint="eastAsia" w:ascii="宋体" w:hAnsi="宋体" w:eastAsia="宋体" w:cs="宋体"/>
          <w:bCs/>
          <w:color w:val="000000" w:themeColor="text1"/>
          <w:sz w:val="24"/>
          <w:szCs w:val="24"/>
          <w:highlight w:val="none"/>
        </w:rPr>
      </w:pPr>
    </w:p>
    <w:tbl>
      <w:tblPr>
        <w:tblStyle w:val="31"/>
        <w:tblW w:w="44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0"/>
        <w:gridCol w:w="990"/>
        <w:gridCol w:w="805"/>
        <w:gridCol w:w="2155"/>
        <w:gridCol w:w="2568"/>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285" w:type="pct"/>
            <w:noWrap/>
            <w:tcMar>
              <w:top w:w="15" w:type="dxa"/>
              <w:left w:w="15" w:type="dxa"/>
              <w:bottom w:w="0" w:type="dxa"/>
              <w:right w:w="15" w:type="dxa"/>
            </w:tcMar>
            <w:vAlign w:val="center"/>
          </w:tcPr>
          <w:p>
            <w:pPr>
              <w:spacing w:before="5"/>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序号</w:t>
            </w:r>
          </w:p>
        </w:tc>
        <w:tc>
          <w:tcPr>
            <w:tcW w:w="553" w:type="pct"/>
            <w:noWrap/>
            <w:tcMar>
              <w:top w:w="15" w:type="dxa"/>
              <w:left w:w="15" w:type="dxa"/>
              <w:bottom w:w="0" w:type="dxa"/>
              <w:right w:w="15" w:type="dxa"/>
            </w:tcMar>
            <w:vAlign w:val="center"/>
          </w:tcPr>
          <w:p>
            <w:pPr>
              <w:spacing w:before="5"/>
              <w:jc w:val="center"/>
              <w:rPr>
                <w:rFonts w:hint="eastAsia" w:ascii="宋体" w:hAnsi="宋体" w:eastAsia="宋体" w:cs="宋体"/>
                <w:color w:val="000000" w:themeColor="text1"/>
                <w:sz w:val="24"/>
                <w:szCs w:val="24"/>
                <w:highlight w:val="none"/>
                <w:u w:color="FF0000"/>
              </w:rPr>
            </w:pPr>
            <w:r>
              <w:rPr>
                <w:rFonts w:hint="eastAsia" w:ascii="宋体" w:hAnsi="宋体" w:eastAsia="宋体" w:cs="宋体"/>
                <w:color w:val="000000" w:themeColor="text1"/>
                <w:sz w:val="24"/>
                <w:szCs w:val="24"/>
                <w:highlight w:val="none"/>
                <w:u w:color="FF0000"/>
              </w:rPr>
              <w:t>项目名称</w:t>
            </w:r>
          </w:p>
        </w:tc>
        <w:tc>
          <w:tcPr>
            <w:tcW w:w="450" w:type="pct"/>
            <w:noWrap/>
            <w:tcMar>
              <w:top w:w="15" w:type="dxa"/>
              <w:left w:w="15" w:type="dxa"/>
              <w:bottom w:w="0" w:type="dxa"/>
              <w:right w:w="15" w:type="dxa"/>
            </w:tcMar>
            <w:vAlign w:val="center"/>
          </w:tcPr>
          <w:p>
            <w:pPr>
              <w:spacing w:before="5"/>
              <w:jc w:val="center"/>
              <w:rPr>
                <w:rFonts w:hint="eastAsia" w:ascii="宋体" w:hAnsi="宋体" w:eastAsia="宋体" w:cs="宋体"/>
                <w:color w:val="000000" w:themeColor="text1"/>
                <w:sz w:val="24"/>
                <w:szCs w:val="24"/>
                <w:highlight w:val="none"/>
                <w:u w:color="FF0000"/>
              </w:rPr>
            </w:pPr>
            <w:r>
              <w:rPr>
                <w:rFonts w:hint="eastAsia" w:ascii="宋体" w:hAnsi="宋体" w:eastAsia="宋体" w:cs="宋体"/>
                <w:color w:val="000000" w:themeColor="text1"/>
                <w:sz w:val="24"/>
                <w:szCs w:val="24"/>
                <w:highlight w:val="none"/>
                <w:u w:color="FF0000"/>
              </w:rPr>
              <w:t>数量</w:t>
            </w:r>
          </w:p>
        </w:tc>
        <w:tc>
          <w:tcPr>
            <w:tcW w:w="1204" w:type="pct"/>
          </w:tcPr>
          <w:p>
            <w:pPr>
              <w:spacing w:before="5"/>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单位</w:t>
            </w:r>
          </w:p>
        </w:tc>
        <w:tc>
          <w:tcPr>
            <w:tcW w:w="1435" w:type="pct"/>
            <w:noWrap/>
            <w:tcMar>
              <w:top w:w="15" w:type="dxa"/>
              <w:left w:w="15" w:type="dxa"/>
              <w:bottom w:w="0" w:type="dxa"/>
              <w:right w:w="15" w:type="dxa"/>
            </w:tcMar>
            <w:vAlign w:val="center"/>
          </w:tcPr>
          <w:p>
            <w:pPr>
              <w:spacing w:before="5"/>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单价</w:t>
            </w:r>
          </w:p>
        </w:tc>
        <w:tc>
          <w:tcPr>
            <w:tcW w:w="1072" w:type="pct"/>
            <w:tcMar>
              <w:top w:w="15" w:type="dxa"/>
              <w:left w:w="15" w:type="dxa"/>
              <w:bottom w:w="0" w:type="dxa"/>
              <w:right w:w="15" w:type="dxa"/>
            </w:tcMar>
            <w:vAlign w:val="center"/>
          </w:tcPr>
          <w:p>
            <w:pPr>
              <w:spacing w:before="5"/>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trPr>
        <w:tc>
          <w:tcPr>
            <w:tcW w:w="285" w:type="pct"/>
            <w:noWrap/>
            <w:tcMar>
              <w:top w:w="15" w:type="dxa"/>
              <w:left w:w="15" w:type="dxa"/>
              <w:bottom w:w="0" w:type="dxa"/>
              <w:right w:w="15" w:type="dxa"/>
            </w:tcMar>
            <w:vAlign w:val="center"/>
          </w:tcPr>
          <w:p>
            <w:pPr>
              <w:spacing w:before="5"/>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553" w:type="pct"/>
            <w:noWrap/>
            <w:tcMar>
              <w:top w:w="15" w:type="dxa"/>
              <w:left w:w="15" w:type="dxa"/>
              <w:bottom w:w="0" w:type="dxa"/>
              <w:right w:w="15" w:type="dxa"/>
            </w:tcMar>
            <w:vAlign w:val="center"/>
          </w:tcPr>
          <w:p>
            <w:pPr>
              <w:jc w:val="center"/>
              <w:rPr>
                <w:rFonts w:hint="eastAsia" w:ascii="宋体" w:hAnsi="宋体" w:eastAsia="宋体" w:cs="宋体"/>
                <w:bCs/>
                <w:color w:val="000000" w:themeColor="text1"/>
                <w:szCs w:val="21"/>
                <w:highlight w:val="none"/>
              </w:rPr>
            </w:pPr>
          </w:p>
        </w:tc>
        <w:tc>
          <w:tcPr>
            <w:tcW w:w="450" w:type="pct"/>
            <w:tcMar>
              <w:top w:w="15" w:type="dxa"/>
              <w:left w:w="15" w:type="dxa"/>
              <w:bottom w:w="0" w:type="dxa"/>
              <w:right w:w="15" w:type="dxa"/>
            </w:tcMar>
            <w:vAlign w:val="center"/>
          </w:tcPr>
          <w:p>
            <w:pPr>
              <w:jc w:val="center"/>
              <w:rPr>
                <w:rFonts w:hint="eastAsia" w:ascii="宋体" w:hAnsi="宋体" w:eastAsia="宋体" w:cs="宋体"/>
                <w:bCs/>
                <w:color w:val="000000" w:themeColor="text1"/>
                <w:szCs w:val="21"/>
                <w:highlight w:val="none"/>
              </w:rPr>
            </w:pPr>
          </w:p>
        </w:tc>
        <w:tc>
          <w:tcPr>
            <w:tcW w:w="1204" w:type="pct"/>
          </w:tcPr>
          <w:p>
            <w:pPr>
              <w:jc w:val="center"/>
              <w:rPr>
                <w:rFonts w:hint="eastAsia" w:ascii="宋体" w:hAnsi="宋体" w:eastAsia="宋体" w:cs="宋体"/>
                <w:bCs/>
                <w:color w:val="000000" w:themeColor="text1"/>
                <w:szCs w:val="21"/>
                <w:highlight w:val="none"/>
              </w:rPr>
            </w:pPr>
          </w:p>
        </w:tc>
        <w:tc>
          <w:tcPr>
            <w:tcW w:w="1435" w:type="pct"/>
            <w:tcMar>
              <w:top w:w="15" w:type="dxa"/>
              <w:left w:w="15" w:type="dxa"/>
              <w:bottom w:w="0" w:type="dxa"/>
              <w:right w:w="15" w:type="dxa"/>
            </w:tcMar>
          </w:tcPr>
          <w:p>
            <w:pPr>
              <w:jc w:val="center"/>
              <w:rPr>
                <w:rFonts w:hint="eastAsia" w:ascii="宋体" w:hAnsi="宋体" w:eastAsia="宋体" w:cs="宋体"/>
                <w:bCs/>
                <w:color w:val="000000" w:themeColor="text1"/>
                <w:szCs w:val="21"/>
                <w:highlight w:val="none"/>
              </w:rPr>
            </w:pPr>
          </w:p>
        </w:tc>
        <w:tc>
          <w:tcPr>
            <w:tcW w:w="1072" w:type="pct"/>
            <w:tcMar>
              <w:top w:w="15" w:type="dxa"/>
              <w:left w:w="15" w:type="dxa"/>
              <w:bottom w:w="0" w:type="dxa"/>
              <w:right w:w="15" w:type="dxa"/>
            </w:tcMar>
            <w:vAlign w:val="center"/>
          </w:tcPr>
          <w:p>
            <w:pPr>
              <w:jc w:val="center"/>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rPr>
        <w:tc>
          <w:tcPr>
            <w:tcW w:w="285" w:type="pct"/>
            <w:noWrap/>
            <w:tcMar>
              <w:top w:w="15" w:type="dxa"/>
              <w:left w:w="15" w:type="dxa"/>
              <w:bottom w:w="0" w:type="dxa"/>
              <w:right w:w="15" w:type="dxa"/>
            </w:tcMar>
            <w:vAlign w:val="center"/>
          </w:tcPr>
          <w:p>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553" w:type="pct"/>
            <w:noWrap/>
            <w:tcMar>
              <w:top w:w="15" w:type="dxa"/>
              <w:left w:w="15" w:type="dxa"/>
              <w:bottom w:w="0" w:type="dxa"/>
              <w:right w:w="15" w:type="dxa"/>
            </w:tcMar>
            <w:vAlign w:val="center"/>
          </w:tcPr>
          <w:p>
            <w:pPr>
              <w:jc w:val="center"/>
              <w:rPr>
                <w:rFonts w:hint="eastAsia" w:ascii="宋体" w:hAnsi="宋体" w:eastAsia="宋体" w:cs="宋体"/>
                <w:color w:val="000000" w:themeColor="text1"/>
                <w:szCs w:val="21"/>
                <w:highlight w:val="none"/>
              </w:rPr>
            </w:pPr>
          </w:p>
        </w:tc>
        <w:tc>
          <w:tcPr>
            <w:tcW w:w="450" w:type="pct"/>
            <w:tcMar>
              <w:top w:w="15" w:type="dxa"/>
              <w:left w:w="15" w:type="dxa"/>
              <w:bottom w:w="0" w:type="dxa"/>
              <w:right w:w="15" w:type="dxa"/>
            </w:tcMar>
            <w:vAlign w:val="center"/>
          </w:tcPr>
          <w:p>
            <w:pPr>
              <w:jc w:val="center"/>
              <w:rPr>
                <w:rFonts w:hint="eastAsia" w:ascii="宋体" w:hAnsi="宋体" w:eastAsia="宋体" w:cs="宋体"/>
                <w:bCs/>
                <w:color w:val="000000" w:themeColor="text1"/>
                <w:szCs w:val="21"/>
                <w:highlight w:val="none"/>
              </w:rPr>
            </w:pPr>
          </w:p>
        </w:tc>
        <w:tc>
          <w:tcPr>
            <w:tcW w:w="1204" w:type="pct"/>
          </w:tcPr>
          <w:p>
            <w:pPr>
              <w:jc w:val="center"/>
              <w:rPr>
                <w:rFonts w:hint="eastAsia" w:ascii="宋体" w:hAnsi="宋体" w:eastAsia="宋体" w:cs="宋体"/>
                <w:bCs/>
                <w:color w:val="000000" w:themeColor="text1"/>
                <w:szCs w:val="21"/>
                <w:highlight w:val="none"/>
              </w:rPr>
            </w:pPr>
          </w:p>
        </w:tc>
        <w:tc>
          <w:tcPr>
            <w:tcW w:w="1435" w:type="pct"/>
            <w:tcMar>
              <w:top w:w="15" w:type="dxa"/>
              <w:left w:w="15" w:type="dxa"/>
              <w:bottom w:w="0" w:type="dxa"/>
              <w:right w:w="15" w:type="dxa"/>
            </w:tcMar>
            <w:vAlign w:val="center"/>
          </w:tcPr>
          <w:p>
            <w:pPr>
              <w:jc w:val="center"/>
              <w:rPr>
                <w:rFonts w:hint="eastAsia" w:ascii="宋体" w:hAnsi="宋体" w:eastAsia="宋体" w:cs="宋体"/>
                <w:bCs/>
                <w:color w:val="000000" w:themeColor="text1"/>
                <w:szCs w:val="21"/>
                <w:highlight w:val="none"/>
              </w:rPr>
            </w:pPr>
          </w:p>
        </w:tc>
        <w:tc>
          <w:tcPr>
            <w:tcW w:w="1072" w:type="pct"/>
            <w:tcMar>
              <w:top w:w="15" w:type="dxa"/>
              <w:left w:w="15" w:type="dxa"/>
              <w:bottom w:w="0" w:type="dxa"/>
              <w:right w:w="15" w:type="dxa"/>
            </w:tcMar>
            <w:vAlign w:val="center"/>
          </w:tcPr>
          <w:p>
            <w:pPr>
              <w:jc w:val="center"/>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rPr>
        <w:tc>
          <w:tcPr>
            <w:tcW w:w="285" w:type="pct"/>
            <w:noWrap/>
            <w:tcMar>
              <w:top w:w="15" w:type="dxa"/>
              <w:left w:w="15" w:type="dxa"/>
              <w:bottom w:w="0" w:type="dxa"/>
              <w:right w:w="15" w:type="dxa"/>
            </w:tcMar>
            <w:vAlign w:val="center"/>
          </w:tcPr>
          <w:p>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w:t>
            </w:r>
          </w:p>
        </w:tc>
        <w:tc>
          <w:tcPr>
            <w:tcW w:w="553" w:type="pct"/>
            <w:noWrap/>
            <w:tcMar>
              <w:top w:w="15" w:type="dxa"/>
              <w:left w:w="15" w:type="dxa"/>
              <w:bottom w:w="0" w:type="dxa"/>
              <w:right w:w="15" w:type="dxa"/>
            </w:tcMar>
            <w:vAlign w:val="center"/>
          </w:tcPr>
          <w:p>
            <w:pPr>
              <w:jc w:val="center"/>
              <w:rPr>
                <w:rFonts w:hint="eastAsia" w:ascii="宋体" w:hAnsi="宋体" w:eastAsia="宋体" w:cs="宋体"/>
                <w:color w:val="000000" w:themeColor="text1"/>
                <w:szCs w:val="21"/>
                <w:highlight w:val="none"/>
              </w:rPr>
            </w:pPr>
          </w:p>
        </w:tc>
        <w:tc>
          <w:tcPr>
            <w:tcW w:w="450" w:type="pct"/>
            <w:tcMar>
              <w:top w:w="15" w:type="dxa"/>
              <w:left w:w="15" w:type="dxa"/>
              <w:bottom w:w="0" w:type="dxa"/>
              <w:right w:w="15" w:type="dxa"/>
            </w:tcMar>
            <w:vAlign w:val="center"/>
          </w:tcPr>
          <w:p>
            <w:pPr>
              <w:jc w:val="center"/>
              <w:rPr>
                <w:rFonts w:hint="eastAsia" w:ascii="宋体" w:hAnsi="宋体" w:eastAsia="宋体" w:cs="宋体"/>
                <w:bCs/>
                <w:color w:val="000000" w:themeColor="text1"/>
                <w:szCs w:val="21"/>
                <w:highlight w:val="none"/>
              </w:rPr>
            </w:pPr>
          </w:p>
        </w:tc>
        <w:tc>
          <w:tcPr>
            <w:tcW w:w="1204" w:type="pct"/>
          </w:tcPr>
          <w:p>
            <w:pPr>
              <w:jc w:val="center"/>
              <w:rPr>
                <w:rFonts w:hint="eastAsia" w:ascii="宋体" w:hAnsi="宋体" w:eastAsia="宋体" w:cs="宋体"/>
                <w:bCs/>
                <w:color w:val="000000" w:themeColor="text1"/>
                <w:szCs w:val="21"/>
                <w:highlight w:val="none"/>
              </w:rPr>
            </w:pPr>
          </w:p>
        </w:tc>
        <w:tc>
          <w:tcPr>
            <w:tcW w:w="1435" w:type="pct"/>
            <w:tcMar>
              <w:top w:w="15" w:type="dxa"/>
              <w:left w:w="15" w:type="dxa"/>
              <w:bottom w:w="0" w:type="dxa"/>
              <w:right w:w="15" w:type="dxa"/>
            </w:tcMar>
            <w:vAlign w:val="center"/>
          </w:tcPr>
          <w:p>
            <w:pPr>
              <w:jc w:val="center"/>
              <w:rPr>
                <w:rFonts w:hint="eastAsia" w:ascii="宋体" w:hAnsi="宋体" w:eastAsia="宋体" w:cs="宋体"/>
                <w:bCs/>
                <w:color w:val="000000" w:themeColor="text1"/>
                <w:szCs w:val="21"/>
                <w:highlight w:val="none"/>
              </w:rPr>
            </w:pPr>
          </w:p>
        </w:tc>
        <w:tc>
          <w:tcPr>
            <w:tcW w:w="1072" w:type="pct"/>
            <w:tcMar>
              <w:top w:w="15" w:type="dxa"/>
              <w:left w:w="15" w:type="dxa"/>
              <w:bottom w:w="0" w:type="dxa"/>
              <w:right w:w="15" w:type="dxa"/>
            </w:tcMar>
            <w:vAlign w:val="center"/>
          </w:tcPr>
          <w:p>
            <w:pPr>
              <w:jc w:val="center"/>
              <w:rPr>
                <w:rFonts w:hint="eastAsia" w:ascii="宋体" w:hAnsi="宋体" w:eastAsia="宋体" w:cs="宋体"/>
                <w:b/>
                <w:bCs/>
                <w:color w:val="000000" w:themeColor="text1"/>
                <w:szCs w:val="21"/>
                <w:highlight w:val="none"/>
              </w:rPr>
            </w:pPr>
          </w:p>
        </w:tc>
      </w:tr>
    </w:tbl>
    <w:p>
      <w:pPr>
        <w:spacing w:before="5"/>
        <w:rPr>
          <w:rFonts w:hint="eastAsia" w:ascii="宋体" w:hAnsi="宋体" w:eastAsia="宋体" w:cs="宋体"/>
          <w:b/>
          <w:bCs/>
          <w:color w:val="000000" w:themeColor="text1"/>
          <w:sz w:val="24"/>
          <w:szCs w:val="24"/>
          <w:highlight w:val="none"/>
        </w:rPr>
      </w:pPr>
    </w:p>
    <w:p>
      <w:pPr>
        <w:spacing w:before="5"/>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法定代表人或被授权代表（签字或盖章）：</w:t>
      </w:r>
      <w:r>
        <w:rPr>
          <w:rFonts w:hint="eastAsia" w:ascii="宋体" w:hAnsi="宋体" w:eastAsia="宋体" w:cs="宋体"/>
          <w:b/>
          <w:bCs/>
          <w:color w:val="000000" w:themeColor="text1"/>
          <w:sz w:val="24"/>
          <w:szCs w:val="24"/>
          <w:highlight w:val="none"/>
          <w:u w:val="single"/>
        </w:rPr>
        <w:t xml:space="preserve">                               </w:t>
      </w:r>
      <w:r>
        <w:rPr>
          <w:rFonts w:hint="eastAsia" w:ascii="宋体" w:hAnsi="宋体" w:eastAsia="宋体" w:cs="宋体"/>
          <w:b/>
          <w:bCs/>
          <w:color w:val="000000" w:themeColor="text1"/>
          <w:sz w:val="24"/>
          <w:szCs w:val="24"/>
          <w:highlight w:val="none"/>
        </w:rPr>
        <w:t xml:space="preserve"> </w:t>
      </w:r>
    </w:p>
    <w:p>
      <w:pPr>
        <w:rPr>
          <w:rFonts w:hint="eastAsia" w:ascii="宋体" w:hAnsi="宋体" w:eastAsia="宋体" w:cs="宋体"/>
          <w:b/>
          <w:sz w:val="24"/>
          <w:szCs w:val="24"/>
          <w:highlight w:val="none"/>
        </w:rPr>
      </w:pPr>
    </w:p>
    <w:p>
      <w:pPr>
        <w:rPr>
          <w:rFonts w:hint="eastAsia" w:ascii="宋体" w:hAnsi="宋体" w:eastAsia="宋体" w:cs="宋体"/>
          <w:bCs/>
          <w:sz w:val="24"/>
          <w:szCs w:val="24"/>
          <w:highlight w:val="none"/>
        </w:rPr>
      </w:pPr>
      <w:r>
        <w:rPr>
          <w:rFonts w:hint="eastAsia" w:ascii="宋体" w:hAnsi="宋体" w:eastAsia="宋体" w:cs="宋体"/>
          <w:b/>
          <w:sz w:val="24"/>
          <w:szCs w:val="24"/>
          <w:highlight w:val="none"/>
        </w:rPr>
        <w:t>注：</w:t>
      </w:r>
      <w:r>
        <w:rPr>
          <w:rFonts w:hint="eastAsia" w:ascii="宋体" w:hAnsi="宋体" w:eastAsia="宋体" w:cs="宋体"/>
          <w:bCs/>
          <w:sz w:val="24"/>
          <w:szCs w:val="24"/>
          <w:highlight w:val="none"/>
        </w:rPr>
        <w:t>（1）供应商应当根据“项目技术要求和有关说明”的内容在上表中详细填写；</w:t>
      </w:r>
    </w:p>
    <w:p>
      <w:pPr>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（2）表格不够可自行延长。</w:t>
      </w:r>
    </w:p>
    <w:p>
      <w:pPr>
        <w:widowControl/>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br w:type="page"/>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六、技术参数响应及偏离表</w:t>
      </w:r>
    </w:p>
    <w:p>
      <w:pPr>
        <w:jc w:val="center"/>
        <w:rPr>
          <w:rFonts w:hint="eastAsia" w:ascii="宋体" w:hAnsi="宋体" w:eastAsia="宋体" w:cs="宋体"/>
          <w:bCs/>
          <w:color w:val="000000" w:themeColor="text1"/>
          <w:highlight w:val="none"/>
        </w:rPr>
      </w:pPr>
    </w:p>
    <w:p>
      <w:pPr>
        <w:jc w:val="center"/>
        <w:rPr>
          <w:rFonts w:hint="eastAsia" w:ascii="宋体" w:hAnsi="宋体" w:eastAsia="宋体" w:cs="宋体"/>
          <w:bCs/>
          <w:color w:val="000000" w:themeColor="text1"/>
          <w:highlight w:val="none"/>
        </w:rPr>
      </w:pPr>
    </w:p>
    <w:p>
      <w:pPr>
        <w:spacing w:line="400" w:lineRule="exact"/>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供应商名称（盖章）：</w:t>
      </w:r>
      <w:r>
        <w:rPr>
          <w:rFonts w:hint="eastAsia" w:ascii="宋体" w:hAnsi="宋体" w:eastAsia="宋体" w:cs="宋体"/>
          <w:bCs/>
          <w:color w:val="000000" w:themeColor="text1"/>
          <w:sz w:val="24"/>
          <w:szCs w:val="24"/>
          <w:highlight w:val="none"/>
          <w:u w:val="single"/>
        </w:rPr>
        <w:t xml:space="preserve">                        </w:t>
      </w:r>
      <w:r>
        <w:rPr>
          <w:rFonts w:hint="eastAsia" w:ascii="宋体" w:hAnsi="宋体" w:eastAsia="宋体" w:cs="宋体"/>
          <w:bCs/>
          <w:color w:val="000000" w:themeColor="text1"/>
          <w:sz w:val="24"/>
          <w:szCs w:val="24"/>
          <w:highlight w:val="none"/>
        </w:rPr>
        <w:t xml:space="preserve">          采购项目编号：</w:t>
      </w:r>
      <w:r>
        <w:rPr>
          <w:rFonts w:hint="eastAsia" w:ascii="宋体" w:hAnsi="宋体" w:eastAsia="宋体" w:cs="宋体"/>
          <w:bCs/>
          <w:color w:val="000000" w:themeColor="text1"/>
          <w:sz w:val="24"/>
          <w:szCs w:val="24"/>
          <w:highlight w:val="none"/>
          <w:u w:val="single"/>
        </w:rPr>
        <w:t xml:space="preserve">           </w:t>
      </w:r>
    </w:p>
    <w:p>
      <w:pPr>
        <w:spacing w:line="400" w:lineRule="exact"/>
        <w:rPr>
          <w:rFonts w:hint="eastAsia" w:ascii="宋体" w:hAnsi="宋体" w:eastAsia="宋体" w:cs="宋体"/>
          <w:bCs/>
          <w:color w:val="000000" w:themeColor="text1"/>
          <w:sz w:val="24"/>
          <w:szCs w:val="24"/>
          <w:highlight w:val="none"/>
        </w:rPr>
      </w:pPr>
    </w:p>
    <w:tbl>
      <w:tblPr>
        <w:tblStyle w:val="31"/>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bCs/>
                <w:color w:val="000000" w:themeColor="text1"/>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000000" w:themeColor="text1"/>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highlight w:val="none"/>
              </w:rPr>
            </w:pPr>
          </w:p>
        </w:tc>
      </w:tr>
    </w:tbl>
    <w:p>
      <w:pPr>
        <w:rPr>
          <w:rFonts w:hint="eastAsia" w:ascii="宋体" w:hAnsi="宋体" w:eastAsia="宋体" w:cs="宋体"/>
          <w:b/>
          <w:color w:val="000000" w:themeColor="text1"/>
          <w:sz w:val="24"/>
          <w:szCs w:val="24"/>
          <w:highlight w:val="none"/>
        </w:rPr>
      </w:pPr>
    </w:p>
    <w:p>
      <w:pPr>
        <w:spacing w:before="5"/>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法定代表人或被授权代表（签字或盖章）：</w:t>
      </w:r>
      <w:r>
        <w:rPr>
          <w:rFonts w:hint="eastAsia" w:ascii="宋体" w:hAnsi="宋体" w:eastAsia="宋体" w:cs="宋体"/>
          <w:b/>
          <w:bCs/>
          <w:color w:val="000000" w:themeColor="text1"/>
          <w:sz w:val="24"/>
          <w:szCs w:val="24"/>
          <w:highlight w:val="none"/>
          <w:u w:val="single"/>
        </w:rPr>
        <w:t xml:space="preserve">                               </w:t>
      </w:r>
      <w:r>
        <w:rPr>
          <w:rFonts w:hint="eastAsia" w:ascii="宋体" w:hAnsi="宋体" w:eastAsia="宋体" w:cs="宋体"/>
          <w:b/>
          <w:bCs/>
          <w:color w:val="000000" w:themeColor="text1"/>
          <w:sz w:val="24"/>
          <w:szCs w:val="24"/>
          <w:highlight w:val="none"/>
        </w:rPr>
        <w:t xml:space="preserve"> </w:t>
      </w:r>
    </w:p>
    <w:p>
      <w:pPr>
        <w:rPr>
          <w:rFonts w:hint="eastAsia" w:ascii="宋体" w:hAnsi="宋体" w:eastAsia="宋体" w:cs="宋体"/>
          <w:bCs/>
          <w:color w:val="000000" w:themeColor="text1"/>
          <w:sz w:val="30"/>
          <w:highlight w:val="none"/>
        </w:rPr>
      </w:pP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注：</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（1）本表不得删除；</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（2）如无任何技术偏离，请于本表 “偏离说明”中注明“无偏离”；</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（3）如有技术偏离项，请于本表中列明偏离内容，如需要可自行延长，其余无偏离内容不须赘述。</w:t>
      </w: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rPr>
          <w:rFonts w:hint="eastAsia" w:ascii="宋体" w:hAnsi="宋体" w:eastAsia="宋体" w:cs="宋体"/>
          <w:sz w:val="24"/>
          <w:highlight w:val="none"/>
        </w:rPr>
      </w:pPr>
    </w:p>
    <w:p>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七、商务条款响应及偏离表</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9"/>
        <w:gridCol w:w="3206"/>
        <w:gridCol w:w="1496"/>
        <w:gridCol w:w="3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r>
              <w:rPr>
                <w:rFonts w:hint="eastAsia" w:ascii="宋体" w:hAnsi="宋体" w:eastAsia="宋体" w:cs="宋体"/>
                <w:sz w:val="24"/>
                <w:highlight w:val="none"/>
              </w:rPr>
              <w:t>项目</w:t>
            </w:r>
          </w:p>
        </w:tc>
        <w:tc>
          <w:tcPr>
            <w:tcW w:w="3206"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r>
              <w:rPr>
                <w:rFonts w:hint="eastAsia" w:ascii="宋体" w:hAnsi="宋体" w:eastAsia="宋体" w:cs="宋体"/>
                <w:sz w:val="24"/>
                <w:highlight w:val="none"/>
              </w:rPr>
              <w:t>采购文件要求</w:t>
            </w:r>
          </w:p>
        </w:tc>
        <w:tc>
          <w:tcPr>
            <w:tcW w:w="1496"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r>
              <w:rPr>
                <w:rFonts w:hint="eastAsia" w:ascii="宋体" w:hAnsi="宋体" w:eastAsia="宋体" w:cs="宋体"/>
                <w:sz w:val="24"/>
                <w:highlight w:val="none"/>
              </w:rPr>
              <w:t>是否响应</w:t>
            </w:r>
          </w:p>
        </w:tc>
        <w:tc>
          <w:tcPr>
            <w:tcW w:w="358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hint="eastAsia" w:ascii="宋体" w:hAnsi="宋体" w:eastAsia="宋体" w:cs="宋体"/>
                <w:sz w:val="24"/>
                <w:szCs w:val="20"/>
                <w:highlight w:val="none"/>
              </w:rPr>
            </w:pPr>
            <w:r>
              <w:rPr>
                <w:rFonts w:hint="eastAsia" w:ascii="宋体" w:hAnsi="宋体" w:eastAsia="宋体" w:cs="宋体"/>
                <w:sz w:val="24"/>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hint="eastAsia" w:ascii="宋体" w:hAnsi="宋体" w:eastAsia="宋体" w:cs="宋体"/>
                <w:sz w:val="24"/>
                <w:szCs w:val="20"/>
                <w:highlight w:val="none"/>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hint="eastAsia"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eastAsia="宋体" w:cs="宋体"/>
                <w:sz w:val="24"/>
                <w:szCs w:val="20"/>
                <w:highlight w:val="none"/>
              </w:rPr>
            </w:pPr>
          </w:p>
        </w:tc>
      </w:tr>
    </w:tbl>
    <w:p>
      <w:pPr>
        <w:rPr>
          <w:rFonts w:hint="eastAsia" w:ascii="宋体" w:hAnsi="宋体" w:eastAsia="宋体" w:cs="宋体"/>
          <w:sz w:val="24"/>
          <w:highlight w:val="none"/>
        </w:rPr>
      </w:pPr>
    </w:p>
    <w:p>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pPr>
        <w:spacing w:line="360" w:lineRule="auto"/>
        <w:rPr>
          <w:rFonts w:hint="eastAsia" w:ascii="宋体" w:hAnsi="宋体" w:eastAsia="宋体" w:cs="宋体"/>
          <w:bCs/>
          <w:sz w:val="28"/>
          <w:szCs w:val="28"/>
          <w:highlight w:val="none"/>
        </w:rPr>
      </w:pPr>
      <w:r>
        <w:rPr>
          <w:rFonts w:hint="eastAsia" w:ascii="宋体" w:hAnsi="宋体" w:eastAsia="宋体" w:cs="宋体"/>
          <w:sz w:val="28"/>
          <w:szCs w:val="28"/>
          <w:highlight w:val="none"/>
        </w:rPr>
        <w:t>八、技术方案、服务承诺、培训承诺</w:t>
      </w:r>
    </w:p>
    <w:p>
      <w:pPr>
        <w:rPr>
          <w:rFonts w:hint="eastAsia" w:ascii="宋体" w:hAnsi="宋体" w:eastAsia="宋体" w:cs="宋体"/>
          <w:highlight w:val="none"/>
        </w:rPr>
      </w:pPr>
      <w:bookmarkStart w:id="57" w:name="_Toc59000746"/>
    </w:p>
    <w:p>
      <w:pPr>
        <w:rPr>
          <w:rFonts w:hint="eastAsia" w:ascii="宋体" w:hAnsi="宋体" w:eastAsia="宋体" w:cs="宋体"/>
          <w:sz w:val="24"/>
          <w:szCs w:val="24"/>
          <w:highlight w:val="none"/>
        </w:rPr>
      </w:pPr>
      <w:r>
        <w:rPr>
          <w:rFonts w:hint="eastAsia" w:ascii="宋体" w:hAnsi="宋体" w:eastAsia="宋体" w:cs="宋体"/>
          <w:sz w:val="24"/>
          <w:szCs w:val="24"/>
          <w:highlight w:val="none"/>
        </w:rPr>
        <w:t>（内容格式自定）</w:t>
      </w:r>
      <w:bookmarkEnd w:id="57"/>
    </w:p>
    <w:p>
      <w:pPr>
        <w:rPr>
          <w:rFonts w:hint="eastAsia" w:ascii="宋体" w:hAnsi="宋体" w:eastAsia="宋体" w:cs="宋体"/>
          <w:sz w:val="30"/>
          <w:highlight w:val="none"/>
        </w:rPr>
      </w:pPr>
      <w:r>
        <w:rPr>
          <w:rFonts w:hint="eastAsia" w:ascii="宋体" w:hAnsi="宋体" w:eastAsia="宋体" w:cs="宋体"/>
          <w:sz w:val="30"/>
          <w:highlight w:val="none"/>
        </w:rPr>
        <w:t xml:space="preserve">    ……</w:t>
      </w:r>
    </w:p>
    <w:p>
      <w:pPr>
        <w:rPr>
          <w:rFonts w:hint="eastAsia" w:ascii="宋体" w:hAnsi="宋体" w:eastAsia="宋体" w:cs="宋体"/>
          <w:bCs/>
          <w:color w:val="000000" w:themeColor="text1"/>
          <w:kern w:val="0"/>
          <w:sz w:val="24"/>
          <w:szCs w:val="24"/>
          <w:highlight w:val="none"/>
        </w:rPr>
      </w:pPr>
      <w:bookmarkStart w:id="58" w:name="_Toc55147059"/>
      <w:r>
        <w:rPr>
          <w:rFonts w:hint="eastAsia" w:ascii="宋体" w:hAnsi="宋体" w:eastAsia="宋体" w:cs="宋体"/>
          <w:highlight w:val="none"/>
        </w:rPr>
        <w:br w:type="page"/>
      </w:r>
    </w:p>
    <w:bookmarkEnd w:id="58"/>
    <w:p>
      <w:pPr>
        <w:spacing w:line="360" w:lineRule="auto"/>
        <w:rPr>
          <w:rFonts w:hint="eastAsia" w:ascii="宋体" w:hAnsi="宋体" w:eastAsia="宋体" w:cs="宋体"/>
          <w:bCs/>
          <w:sz w:val="28"/>
          <w:szCs w:val="28"/>
          <w:highlight w:val="none"/>
        </w:rPr>
      </w:pPr>
      <w:bookmarkStart w:id="59" w:name="_Toc55147061"/>
      <w:r>
        <w:rPr>
          <w:rFonts w:hint="eastAsia" w:ascii="宋体" w:hAnsi="宋体" w:eastAsia="宋体" w:cs="宋体"/>
          <w:sz w:val="28"/>
          <w:szCs w:val="28"/>
          <w:highlight w:val="none"/>
        </w:rPr>
        <w:t>九、其他格式附件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（一）响应函（格式）</w:t>
      </w:r>
    </w:p>
    <w:p>
      <w:pPr>
        <w:spacing w:line="360" w:lineRule="auto"/>
        <w:jc w:val="center"/>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8"/>
          <w:szCs w:val="28"/>
          <w:highlight w:val="none"/>
        </w:rPr>
        <w:t>响应函</w:t>
      </w:r>
    </w:p>
    <w:p>
      <w:pPr>
        <w:spacing w:line="360" w:lineRule="auto"/>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致江苏仁禾中衡工程咨询房地产估价有限公司：</w:t>
      </w:r>
    </w:p>
    <w:p>
      <w:pPr>
        <w:spacing w:line="360" w:lineRule="auto"/>
        <w:ind w:firstLine="480" w:firstLineChars="200"/>
        <w:rPr>
          <w:rFonts w:hint="eastAsia" w:ascii="宋体" w:hAnsi="宋体" w:eastAsia="宋体" w:cs="宋体"/>
          <w:bCs/>
          <w:color w:val="000000" w:themeColor="text1"/>
          <w:sz w:val="24"/>
          <w:szCs w:val="24"/>
          <w:highlight w:val="none"/>
        </w:rPr>
      </w:pPr>
    </w:p>
    <w:p>
      <w:pPr>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我方收到贵方编号</w:t>
      </w:r>
      <w:r>
        <w:rPr>
          <w:rFonts w:hint="eastAsia" w:ascii="宋体" w:hAnsi="宋体" w:eastAsia="宋体" w:cs="宋体"/>
          <w:bCs/>
          <w:color w:val="000000" w:themeColor="text1"/>
          <w:sz w:val="24"/>
          <w:szCs w:val="24"/>
          <w:highlight w:val="none"/>
          <w:u w:val="single"/>
        </w:rPr>
        <w:t xml:space="preserve">          </w:t>
      </w:r>
      <w:r>
        <w:rPr>
          <w:rFonts w:hint="eastAsia" w:ascii="宋体" w:hAnsi="宋体" w:eastAsia="宋体" w:cs="宋体"/>
          <w:bCs/>
          <w:color w:val="000000" w:themeColor="text1"/>
          <w:sz w:val="24"/>
          <w:szCs w:val="24"/>
          <w:highlight w:val="none"/>
        </w:rPr>
        <w:t>采购文件，经仔细阅读和研究，我方决定参加此项目的报价。</w:t>
      </w:r>
    </w:p>
    <w:p>
      <w:pPr>
        <w:numPr>
          <w:ilvl w:val="0"/>
          <w:numId w:val="10"/>
        </w:numPr>
        <w:tabs>
          <w:tab w:val="left" w:pos="315"/>
          <w:tab w:val="left" w:pos="840"/>
          <w:tab w:val="left" w:pos="945"/>
          <w:tab w:val="left" w:pos="1050"/>
          <w:tab w:val="left" w:pos="1260"/>
          <w:tab w:val="clear" w:pos="552"/>
        </w:tabs>
        <w:spacing w:line="360" w:lineRule="auto"/>
        <w:ind w:left="0" w:firstLine="525"/>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我方愿意按照采购文件的一切要求，提供本项目的报价，总价见《报价一览表》。</w:t>
      </w:r>
    </w:p>
    <w:p>
      <w:pPr>
        <w:numPr>
          <w:ilvl w:val="0"/>
          <w:numId w:val="10"/>
        </w:numPr>
        <w:tabs>
          <w:tab w:val="left" w:pos="0"/>
          <w:tab w:val="left" w:pos="315"/>
          <w:tab w:val="left" w:pos="525"/>
          <w:tab w:val="left" w:pos="840"/>
          <w:tab w:val="left" w:pos="945"/>
          <w:tab w:val="left" w:pos="1050"/>
          <w:tab w:val="clear" w:pos="552"/>
        </w:tabs>
        <w:spacing w:line="360" w:lineRule="auto"/>
        <w:ind w:left="0" w:firstLine="523" w:firstLineChars="218"/>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我方愿意提供采购文件中要求的文件、资料。</w:t>
      </w:r>
    </w:p>
    <w:p>
      <w:pPr>
        <w:numPr>
          <w:ilvl w:val="0"/>
          <w:numId w:val="10"/>
        </w:numPr>
        <w:tabs>
          <w:tab w:val="left" w:pos="0"/>
          <w:tab w:val="left" w:pos="315"/>
          <w:tab w:val="left" w:pos="525"/>
          <w:tab w:val="left" w:pos="945"/>
          <w:tab w:val="left" w:pos="1050"/>
          <w:tab w:val="clear" w:pos="552"/>
        </w:tabs>
        <w:spacing w:line="360" w:lineRule="auto"/>
        <w:ind w:left="0" w:firstLine="523" w:firstLineChars="218"/>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我方同意按采购文件中的规定，本响应文件报价的有效期限为报价截止之日起90天。</w:t>
      </w:r>
    </w:p>
    <w:p>
      <w:pPr>
        <w:numPr>
          <w:ilvl w:val="0"/>
          <w:numId w:val="10"/>
        </w:numPr>
        <w:tabs>
          <w:tab w:val="left" w:pos="0"/>
          <w:tab w:val="left" w:pos="315"/>
          <w:tab w:val="left" w:pos="525"/>
          <w:tab w:val="left" w:pos="945"/>
          <w:tab w:val="left" w:pos="1050"/>
          <w:tab w:val="clear" w:pos="552"/>
        </w:tabs>
        <w:spacing w:line="360" w:lineRule="auto"/>
        <w:ind w:left="0" w:firstLine="523" w:firstLineChars="218"/>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如果我方的响应文件被接受，我方将履行采购文件中规定的每一项要求，按期、按质、按量，完成交货任务。</w:t>
      </w:r>
    </w:p>
    <w:p>
      <w:pPr>
        <w:numPr>
          <w:ilvl w:val="0"/>
          <w:numId w:val="10"/>
        </w:numPr>
        <w:tabs>
          <w:tab w:val="left" w:pos="0"/>
          <w:tab w:val="left" w:pos="315"/>
          <w:tab w:val="left" w:pos="525"/>
          <w:tab w:val="left" w:pos="945"/>
          <w:tab w:val="left" w:pos="1050"/>
          <w:tab w:val="clear" w:pos="552"/>
        </w:tabs>
        <w:spacing w:line="360" w:lineRule="auto"/>
        <w:ind w:left="0" w:firstLine="523" w:firstLineChars="218"/>
        <w:rPr>
          <w:rFonts w:hint="eastAsia" w:ascii="宋体" w:hAnsi="宋体" w:eastAsia="宋体" w:cs="宋体"/>
          <w:bCs/>
          <w:sz w:val="24"/>
          <w:szCs w:val="24"/>
          <w:highlight w:val="none"/>
        </w:rPr>
      </w:pPr>
      <w:r>
        <w:rPr>
          <w:rFonts w:hint="eastAsia" w:ascii="宋体" w:hAnsi="宋体" w:eastAsia="宋体" w:cs="宋体"/>
          <w:bCs/>
          <w:color w:val="000000" w:themeColor="text1"/>
          <w:sz w:val="24"/>
          <w:szCs w:val="24"/>
          <w:highlight w:val="none"/>
        </w:rPr>
        <w:t>我方愿意遵守《中华人民共</w:t>
      </w:r>
      <w:r>
        <w:rPr>
          <w:rFonts w:hint="eastAsia" w:ascii="宋体" w:hAnsi="宋体" w:eastAsia="宋体" w:cs="宋体"/>
          <w:bCs/>
          <w:sz w:val="24"/>
          <w:szCs w:val="24"/>
          <w:highlight w:val="none"/>
        </w:rPr>
        <w:t>和国政府采购法》，并按《中华人民共和国民法典》、财政部《政府采购货物和服务招标投标管理办法》</w:t>
      </w:r>
      <w:r>
        <w:rPr>
          <w:rFonts w:hint="eastAsia" w:ascii="宋体" w:hAnsi="宋体" w:eastAsia="宋体" w:cs="宋体"/>
          <w:sz w:val="24"/>
          <w:szCs w:val="24"/>
          <w:highlight w:val="none"/>
        </w:rPr>
        <w:t>和</w:t>
      </w:r>
      <w:r>
        <w:rPr>
          <w:rFonts w:hint="eastAsia" w:ascii="宋体" w:hAnsi="宋体" w:eastAsia="宋体" w:cs="宋体"/>
          <w:bCs/>
          <w:sz w:val="24"/>
          <w:szCs w:val="24"/>
          <w:highlight w:val="none"/>
        </w:rPr>
        <w:t>合同条款履行自己的全部责任。</w:t>
      </w:r>
    </w:p>
    <w:p>
      <w:pPr>
        <w:numPr>
          <w:ilvl w:val="0"/>
          <w:numId w:val="10"/>
        </w:numPr>
        <w:tabs>
          <w:tab w:val="left" w:pos="0"/>
          <w:tab w:val="left" w:pos="315"/>
          <w:tab w:val="left" w:pos="525"/>
          <w:tab w:val="left" w:pos="945"/>
          <w:tab w:val="left" w:pos="1050"/>
          <w:tab w:val="clear" w:pos="552"/>
        </w:tabs>
        <w:spacing w:line="360" w:lineRule="auto"/>
        <w:ind w:left="0"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我方认可并遵守</w:t>
      </w:r>
      <w:r>
        <w:rPr>
          <w:rFonts w:hint="eastAsia" w:ascii="宋体" w:hAnsi="宋体" w:eastAsia="宋体" w:cs="宋体"/>
          <w:bCs/>
          <w:color w:val="000000" w:themeColor="text1"/>
          <w:sz w:val="24"/>
          <w:szCs w:val="24"/>
          <w:highlight w:val="none"/>
        </w:rPr>
        <w:t>采购</w:t>
      </w:r>
      <w:r>
        <w:rPr>
          <w:rFonts w:hint="eastAsia" w:ascii="宋体" w:hAnsi="宋体" w:eastAsia="宋体" w:cs="宋体"/>
          <w:bCs/>
          <w:sz w:val="24"/>
          <w:szCs w:val="24"/>
          <w:highlight w:val="none"/>
        </w:rPr>
        <w:t>文件所有的规定。</w:t>
      </w:r>
    </w:p>
    <w:p>
      <w:pPr>
        <w:numPr>
          <w:ilvl w:val="0"/>
          <w:numId w:val="10"/>
        </w:numPr>
        <w:tabs>
          <w:tab w:val="left" w:pos="0"/>
          <w:tab w:val="left" w:pos="315"/>
          <w:tab w:val="left" w:pos="525"/>
          <w:tab w:val="left" w:pos="945"/>
          <w:tab w:val="left" w:pos="1050"/>
          <w:tab w:val="clear" w:pos="552"/>
        </w:tabs>
        <w:spacing w:line="360" w:lineRule="auto"/>
        <w:ind w:left="0"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我方愿意按</w:t>
      </w:r>
      <w:r>
        <w:rPr>
          <w:rFonts w:hint="eastAsia" w:ascii="宋体" w:hAnsi="宋体" w:eastAsia="宋体" w:cs="宋体"/>
          <w:bCs/>
          <w:color w:val="000000" w:themeColor="text1"/>
          <w:sz w:val="24"/>
          <w:szCs w:val="24"/>
          <w:highlight w:val="none"/>
        </w:rPr>
        <w:t>采购</w:t>
      </w:r>
      <w:r>
        <w:rPr>
          <w:rFonts w:hint="eastAsia" w:ascii="宋体" w:hAnsi="宋体" w:eastAsia="宋体" w:cs="宋体"/>
          <w:bCs/>
          <w:sz w:val="24"/>
          <w:szCs w:val="24"/>
          <w:highlight w:val="none"/>
        </w:rPr>
        <w:t>文件的规定填写《投标（报价）承诺函》。如我方在报价截止期后撤回响应及成交后拒绝遵守报价承诺或拒绝在规定的时间内与采购人签订合同，则接受政府采购监督管理部门的处理。</w:t>
      </w:r>
    </w:p>
    <w:p>
      <w:pPr>
        <w:numPr>
          <w:ilvl w:val="0"/>
          <w:numId w:val="10"/>
        </w:numPr>
        <w:tabs>
          <w:tab w:val="left" w:pos="0"/>
          <w:tab w:val="left" w:pos="315"/>
          <w:tab w:val="left" w:pos="525"/>
          <w:tab w:val="left" w:pos="945"/>
          <w:tab w:val="left" w:pos="1050"/>
          <w:tab w:val="clear" w:pos="552"/>
        </w:tabs>
        <w:spacing w:line="360" w:lineRule="auto"/>
        <w:ind w:left="0"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如果我方被确定为成交供应商，我方愿意</w:t>
      </w:r>
      <w:r>
        <w:rPr>
          <w:rFonts w:hint="eastAsia" w:ascii="宋体" w:hAnsi="宋体" w:eastAsia="宋体" w:cs="宋体"/>
          <w:sz w:val="24"/>
          <w:szCs w:val="24"/>
          <w:highlight w:val="none"/>
        </w:rPr>
        <w:t>向</w:t>
      </w:r>
      <w:r>
        <w:rPr>
          <w:rFonts w:hint="eastAsia" w:ascii="宋体" w:hAnsi="宋体" w:eastAsia="宋体" w:cs="宋体"/>
          <w:bCs/>
          <w:sz w:val="24"/>
          <w:szCs w:val="24"/>
          <w:highlight w:val="none"/>
        </w:rPr>
        <w:t>采购人交纳履约保证金。且我方如无不可抗力，又未履行</w:t>
      </w:r>
      <w:r>
        <w:rPr>
          <w:rFonts w:hint="eastAsia" w:ascii="宋体" w:hAnsi="宋体" w:eastAsia="宋体" w:cs="宋体"/>
          <w:bCs/>
          <w:color w:val="000000" w:themeColor="text1"/>
          <w:sz w:val="24"/>
          <w:szCs w:val="24"/>
          <w:highlight w:val="none"/>
        </w:rPr>
        <w:t>采购</w:t>
      </w:r>
      <w:r>
        <w:rPr>
          <w:rFonts w:hint="eastAsia" w:ascii="宋体" w:hAnsi="宋体" w:eastAsia="宋体" w:cs="宋体"/>
          <w:bCs/>
          <w:sz w:val="24"/>
          <w:szCs w:val="24"/>
          <w:highlight w:val="none"/>
        </w:rPr>
        <w:t>文件、响应文件和合同条款的，一经查实，我方愿意赔偿由此而造成的一切损失，并同意接受按</w:t>
      </w:r>
      <w:r>
        <w:rPr>
          <w:rFonts w:hint="eastAsia" w:ascii="宋体" w:hAnsi="宋体" w:eastAsia="宋体" w:cs="宋体"/>
          <w:bCs/>
          <w:color w:val="000000" w:themeColor="text1"/>
          <w:sz w:val="24"/>
          <w:szCs w:val="24"/>
          <w:highlight w:val="none"/>
        </w:rPr>
        <w:t>采购</w:t>
      </w:r>
      <w:r>
        <w:rPr>
          <w:rFonts w:hint="eastAsia" w:ascii="宋体" w:hAnsi="宋体" w:eastAsia="宋体" w:cs="宋体"/>
          <w:bCs/>
          <w:sz w:val="24"/>
          <w:szCs w:val="24"/>
          <w:highlight w:val="none"/>
        </w:rPr>
        <w:t>文件的相关要求对我方进行的处理。</w:t>
      </w:r>
    </w:p>
    <w:p>
      <w:pPr>
        <w:numPr>
          <w:ilvl w:val="0"/>
          <w:numId w:val="10"/>
        </w:numPr>
        <w:tabs>
          <w:tab w:val="left" w:pos="0"/>
          <w:tab w:val="left" w:pos="315"/>
          <w:tab w:val="left" w:pos="525"/>
          <w:tab w:val="left" w:pos="945"/>
          <w:tab w:val="left" w:pos="1050"/>
          <w:tab w:val="clear" w:pos="552"/>
        </w:tabs>
        <w:spacing w:line="360" w:lineRule="auto"/>
        <w:ind w:left="0" w:firstLine="523" w:firstLineChars="218"/>
        <w:rPr>
          <w:rFonts w:hint="eastAsia" w:ascii="宋体" w:hAnsi="宋体" w:eastAsia="宋体" w:cs="宋体"/>
          <w:bCs/>
          <w:color w:val="000000" w:themeColor="text1"/>
          <w:sz w:val="24"/>
          <w:szCs w:val="24"/>
          <w:highlight w:val="none"/>
        </w:rPr>
      </w:pPr>
      <w:r>
        <w:rPr>
          <w:rFonts w:hint="eastAsia" w:ascii="宋体" w:hAnsi="宋体" w:eastAsia="宋体" w:cs="宋体"/>
          <w:bCs/>
          <w:sz w:val="24"/>
          <w:szCs w:val="24"/>
          <w:highlight w:val="none"/>
        </w:rPr>
        <w:t>我方决不提供虚假材料谋取成交、决不采取不正当手段诋毁、排挤其他供应商、决不与采购人、其它供应商或者采购代理机构恶意串通</w:t>
      </w:r>
      <w:r>
        <w:rPr>
          <w:rFonts w:hint="eastAsia" w:ascii="宋体" w:hAnsi="宋体" w:eastAsia="宋体" w:cs="宋体"/>
          <w:bCs/>
          <w:color w:val="000000" w:themeColor="text1"/>
          <w:sz w:val="24"/>
          <w:szCs w:val="24"/>
          <w:highlight w:val="none"/>
        </w:rPr>
        <w:t>、决不向采购人、</w:t>
      </w:r>
      <w:r>
        <w:rPr>
          <w:rFonts w:hint="eastAsia" w:ascii="宋体" w:hAnsi="宋体" w:eastAsia="宋体" w:cs="宋体"/>
          <w:bCs/>
          <w:sz w:val="24"/>
          <w:szCs w:val="24"/>
          <w:highlight w:val="none"/>
        </w:rPr>
        <w:t>采购代理机构</w:t>
      </w:r>
      <w:r>
        <w:rPr>
          <w:rFonts w:hint="eastAsia" w:ascii="宋体" w:hAnsi="宋体" w:eastAsia="宋体" w:cs="宋体"/>
          <w:bCs/>
          <w:color w:val="000000" w:themeColor="text1"/>
          <w:sz w:val="24"/>
          <w:szCs w:val="24"/>
          <w:highlight w:val="none"/>
        </w:rPr>
        <w:t>工作人员和评委进行商业贿赂、决不在采购过程中与采购人进行协商谈判、决不拒绝有关部门监督检查或提供虚假情况，如有违反，无条件接受贵方及相关管理部门的处罚。</w:t>
      </w:r>
    </w:p>
    <w:p>
      <w:pPr>
        <w:numPr>
          <w:ilvl w:val="0"/>
          <w:numId w:val="10"/>
        </w:numPr>
        <w:tabs>
          <w:tab w:val="left" w:pos="0"/>
          <w:tab w:val="left" w:pos="315"/>
          <w:tab w:val="left" w:pos="525"/>
          <w:tab w:val="left" w:pos="945"/>
          <w:tab w:val="left" w:pos="1050"/>
          <w:tab w:val="clear" w:pos="552"/>
        </w:tabs>
        <w:spacing w:line="360" w:lineRule="auto"/>
        <w:ind w:left="0" w:firstLine="523" w:firstLineChars="218"/>
        <w:rPr>
          <w:rFonts w:hint="eastAsia" w:ascii="宋体" w:hAnsi="宋体" w:eastAsia="宋体" w:cs="宋体"/>
          <w:bCs/>
          <w:color w:val="000000" w:themeColor="text1"/>
          <w:sz w:val="24"/>
          <w:szCs w:val="24"/>
          <w:highlight w:val="none"/>
        </w:rPr>
      </w:pPr>
      <w:r>
        <w:rPr>
          <w:rFonts w:hint="eastAsia" w:ascii="宋体" w:hAnsi="宋体" w:eastAsia="宋体" w:cs="宋体"/>
          <w:bCs/>
          <w:sz w:val="24"/>
          <w:szCs w:val="24"/>
          <w:highlight w:val="none"/>
        </w:rPr>
        <w:t>如果我们中标，我们将按照采购文件的规定向贵公司支付采购代理服务费；为执行合同，我们将按供应商须知有关要求提供必要的履约保证。</w:t>
      </w:r>
    </w:p>
    <w:p>
      <w:pPr>
        <w:spacing w:line="400" w:lineRule="exact"/>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供应商（盖章）：</w:t>
      </w:r>
    </w:p>
    <w:p>
      <w:pPr>
        <w:spacing w:line="400" w:lineRule="exact"/>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法定代表人或法定代表人授权代表签字或盖章：</w:t>
      </w:r>
    </w:p>
    <w:p>
      <w:pPr>
        <w:spacing w:line="400" w:lineRule="exact"/>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电话：                 传真：</w:t>
      </w:r>
    </w:p>
    <w:p>
      <w:pPr>
        <w:spacing w:line="400" w:lineRule="exact"/>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通讯地址：             邮编：</w:t>
      </w:r>
      <w:bookmarkStart w:id="60" w:name="_Toc55147054"/>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（二）</w:t>
      </w:r>
      <w:bookmarkEnd w:id="60"/>
      <w:r>
        <w:rPr>
          <w:rFonts w:hint="eastAsia" w:ascii="宋体" w:hAnsi="宋体" w:eastAsia="宋体" w:cs="宋体"/>
          <w:sz w:val="24"/>
          <w:szCs w:val="24"/>
          <w:highlight w:val="none"/>
        </w:rPr>
        <w:t>关于资格的声明函（格式）</w:t>
      </w:r>
    </w:p>
    <w:p>
      <w:pPr>
        <w:spacing w:line="360" w:lineRule="auto"/>
        <w:rPr>
          <w:rFonts w:hint="eastAsia" w:ascii="宋体" w:hAnsi="宋体" w:eastAsia="宋体" w:cs="宋体"/>
          <w:bCs/>
          <w:color w:val="000000" w:themeColor="text1"/>
          <w:sz w:val="36"/>
          <w:highlight w:val="none"/>
        </w:rPr>
      </w:pPr>
    </w:p>
    <w:p>
      <w:pPr>
        <w:spacing w:line="480" w:lineRule="auto"/>
        <w:ind w:firstLine="560" w:firstLineChars="200"/>
        <w:jc w:val="center"/>
        <w:rPr>
          <w:rFonts w:hint="eastAsia" w:ascii="宋体" w:hAnsi="宋体" w:eastAsia="宋体" w:cs="宋体"/>
          <w:bCs/>
          <w:color w:val="000000" w:themeColor="text1"/>
          <w:sz w:val="28"/>
          <w:szCs w:val="28"/>
          <w:highlight w:val="none"/>
        </w:rPr>
      </w:pPr>
      <w:bookmarkStart w:id="61" w:name="报价方关于资格的声明函（格式）"/>
      <w:bookmarkEnd w:id="61"/>
      <w:r>
        <w:rPr>
          <w:rFonts w:hint="eastAsia" w:ascii="宋体" w:hAnsi="宋体" w:eastAsia="宋体" w:cs="宋体"/>
          <w:bCs/>
          <w:color w:val="000000" w:themeColor="text1"/>
          <w:sz w:val="28"/>
          <w:szCs w:val="28"/>
          <w:highlight w:val="none"/>
        </w:rPr>
        <w:t>关于资格的声明函</w:t>
      </w:r>
    </w:p>
    <w:p>
      <w:pPr>
        <w:spacing w:line="480" w:lineRule="auto"/>
        <w:jc w:val="center"/>
        <w:rPr>
          <w:rFonts w:hint="eastAsia" w:ascii="宋体" w:hAnsi="宋体" w:eastAsia="宋体" w:cs="宋体"/>
          <w:bCs/>
          <w:color w:val="000000" w:themeColor="text1"/>
          <w:sz w:val="24"/>
          <w:szCs w:val="24"/>
          <w:highlight w:val="none"/>
        </w:rPr>
      </w:pPr>
    </w:p>
    <w:p>
      <w:pPr>
        <w:spacing w:line="360" w:lineRule="auto"/>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江苏仁禾中衡工程咨询房地产估价有限公司：</w:t>
      </w:r>
    </w:p>
    <w:p>
      <w:pPr>
        <w:spacing w:line="360" w:lineRule="auto"/>
        <w:rPr>
          <w:rFonts w:hint="eastAsia" w:ascii="宋体" w:hAnsi="宋体" w:eastAsia="宋体" w:cs="宋体"/>
          <w:bCs/>
          <w:color w:val="000000" w:themeColor="text1"/>
          <w:sz w:val="24"/>
          <w:szCs w:val="24"/>
          <w:highlight w:val="none"/>
        </w:rPr>
      </w:pPr>
    </w:p>
    <w:p>
      <w:pPr>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我公司（单位）参加本次项目（项目编号：</w:t>
      </w:r>
      <w:r>
        <w:rPr>
          <w:rFonts w:hint="eastAsia" w:ascii="宋体" w:hAnsi="宋体" w:eastAsia="宋体" w:cs="宋体"/>
          <w:bCs/>
          <w:color w:val="000000" w:themeColor="text1"/>
          <w:sz w:val="24"/>
          <w:szCs w:val="24"/>
          <w:highlight w:val="none"/>
          <w:u w:val="single"/>
        </w:rPr>
        <w:t xml:space="preserve">                   </w:t>
      </w:r>
      <w:r>
        <w:rPr>
          <w:rFonts w:hint="eastAsia" w:ascii="宋体" w:hAnsi="宋体" w:eastAsia="宋体" w:cs="宋体"/>
          <w:bCs/>
          <w:color w:val="000000" w:themeColor="text1"/>
          <w:sz w:val="24"/>
          <w:szCs w:val="24"/>
          <w:highlight w:val="none"/>
        </w:rPr>
        <w:t>）政府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pPr>
        <w:spacing w:line="360" w:lineRule="auto"/>
        <w:rPr>
          <w:rFonts w:hint="eastAsia" w:ascii="宋体" w:hAnsi="宋体" w:eastAsia="宋体" w:cs="宋体"/>
          <w:bCs/>
          <w:color w:val="000000" w:themeColor="text1"/>
          <w:sz w:val="24"/>
          <w:szCs w:val="24"/>
          <w:highlight w:val="none"/>
        </w:rPr>
      </w:pPr>
    </w:p>
    <w:p>
      <w:pPr>
        <w:spacing w:line="360" w:lineRule="auto"/>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供应商（盖章）：</w:t>
      </w:r>
    </w:p>
    <w:p>
      <w:pPr>
        <w:spacing w:line="360" w:lineRule="auto"/>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法定代表人或法定代表人授权代表（签字或盖章）：</w:t>
      </w:r>
    </w:p>
    <w:p>
      <w:pPr>
        <w:spacing w:line="360" w:lineRule="auto"/>
        <w:rPr>
          <w:rFonts w:hint="eastAsia" w:ascii="宋体" w:hAnsi="宋体" w:eastAsia="宋体" w:cs="宋体"/>
          <w:bCs/>
          <w:color w:val="000000" w:themeColor="text1"/>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bCs/>
          <w:sz w:val="24"/>
          <w:highlight w:val="none"/>
          <w:u w:val="single"/>
        </w:rPr>
        <w:t xml:space="preserve"> ______</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p>
    <w:p>
      <w:pPr>
        <w:spacing w:line="360" w:lineRule="auto"/>
        <w:ind w:firstLine="480" w:firstLineChars="200"/>
        <w:rPr>
          <w:rFonts w:hint="eastAsia" w:ascii="宋体" w:hAnsi="宋体" w:eastAsia="宋体" w:cs="宋体"/>
          <w:bCs/>
          <w:color w:val="000000" w:themeColor="text1"/>
          <w:sz w:val="24"/>
          <w:szCs w:val="24"/>
          <w:highlight w:val="none"/>
        </w:rPr>
      </w:pPr>
    </w:p>
    <w:p>
      <w:pPr>
        <w:spacing w:line="360" w:lineRule="auto"/>
        <w:ind w:firstLine="480" w:firstLineChars="200"/>
        <w:rPr>
          <w:rFonts w:hint="eastAsia" w:ascii="宋体" w:hAnsi="宋体" w:eastAsia="宋体" w:cs="宋体"/>
          <w:bCs/>
          <w:color w:val="000000" w:themeColor="text1"/>
          <w:sz w:val="24"/>
          <w:szCs w:val="24"/>
          <w:highlight w:val="none"/>
        </w:rPr>
      </w:pPr>
    </w:p>
    <w:p>
      <w:pPr>
        <w:spacing w:line="360" w:lineRule="auto"/>
        <w:ind w:firstLine="480" w:firstLineChars="200"/>
        <w:rPr>
          <w:rFonts w:hint="eastAsia" w:ascii="宋体" w:hAnsi="宋体" w:eastAsia="宋体" w:cs="宋体"/>
          <w:bCs/>
          <w:color w:val="000000" w:themeColor="text1"/>
          <w:sz w:val="24"/>
          <w:szCs w:val="24"/>
          <w:highlight w:val="none"/>
        </w:rPr>
      </w:pPr>
    </w:p>
    <w:p>
      <w:pPr>
        <w:spacing w:line="360" w:lineRule="auto"/>
        <w:ind w:firstLine="480" w:firstLineChars="200"/>
        <w:rPr>
          <w:rFonts w:hint="eastAsia" w:ascii="宋体" w:hAnsi="宋体" w:eastAsia="宋体" w:cs="宋体"/>
          <w:bCs/>
          <w:color w:val="000000" w:themeColor="text1"/>
          <w:sz w:val="24"/>
          <w:szCs w:val="24"/>
          <w:highlight w:val="none"/>
        </w:rPr>
      </w:pPr>
    </w:p>
    <w:p>
      <w:pPr>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备注：上述所称“重大违法记录”,是指供应商因违法经营受到刑事处罚或者责令停产停业、吊销许可证或者执照、较大数额罚款等行政处罚。</w:t>
      </w:r>
    </w:p>
    <w:p>
      <w:pPr>
        <w:widowControl/>
        <w:jc w:val="left"/>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br w:type="page"/>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（三）联合体协议（格式）</w:t>
      </w:r>
    </w:p>
    <w:p>
      <w:pPr>
        <w:spacing w:line="460" w:lineRule="exact"/>
        <w:rPr>
          <w:rFonts w:hint="eastAsia" w:ascii="宋体" w:hAnsi="宋体" w:eastAsia="宋体" w:cs="宋体"/>
          <w:bCs/>
          <w:sz w:val="24"/>
          <w:szCs w:val="21"/>
          <w:highlight w:val="none"/>
        </w:rPr>
      </w:pPr>
    </w:p>
    <w:p>
      <w:pPr>
        <w:spacing w:line="460" w:lineRule="exact"/>
        <w:rPr>
          <w:rFonts w:hint="eastAsia" w:ascii="宋体" w:hAnsi="宋体" w:eastAsia="宋体" w:cs="宋体"/>
          <w:bCs/>
          <w:sz w:val="24"/>
          <w:szCs w:val="21"/>
          <w:highlight w:val="none"/>
        </w:rPr>
      </w:pPr>
    </w:p>
    <w:p>
      <w:pPr>
        <w:spacing w:line="460" w:lineRule="exact"/>
        <w:rPr>
          <w:rFonts w:hint="eastAsia" w:ascii="宋体" w:hAnsi="宋体" w:eastAsia="宋体" w:cs="宋体"/>
          <w:bCs/>
          <w:sz w:val="24"/>
          <w:szCs w:val="21"/>
          <w:highlight w:val="none"/>
        </w:rPr>
      </w:pPr>
    </w:p>
    <w:p>
      <w:pPr>
        <w:spacing w:line="460" w:lineRule="exact"/>
        <w:jc w:val="center"/>
        <w:rPr>
          <w:rFonts w:hint="eastAsia" w:ascii="宋体" w:hAnsi="宋体" w:eastAsia="宋体" w:cs="宋体"/>
          <w:bCs/>
          <w:sz w:val="24"/>
          <w:szCs w:val="21"/>
          <w:highlight w:val="none"/>
        </w:rPr>
      </w:pPr>
      <w:r>
        <w:rPr>
          <w:rFonts w:hint="eastAsia" w:ascii="宋体" w:hAnsi="宋体" w:eastAsia="宋体" w:cs="宋体"/>
          <w:bCs/>
          <w:sz w:val="24"/>
          <w:szCs w:val="21"/>
          <w:highlight w:val="none"/>
        </w:rPr>
        <w:t>本项目无</w:t>
      </w:r>
    </w:p>
    <w:p>
      <w:pPr>
        <w:spacing w:line="460" w:lineRule="exact"/>
        <w:rPr>
          <w:rFonts w:hint="eastAsia" w:ascii="宋体" w:hAnsi="宋体" w:eastAsia="宋体" w:cs="宋体"/>
          <w:bCs/>
          <w:sz w:val="24"/>
          <w:szCs w:val="21"/>
          <w:highlight w:val="none"/>
        </w:rPr>
      </w:pPr>
    </w:p>
    <w:p>
      <w:pPr>
        <w:spacing w:line="460" w:lineRule="exact"/>
        <w:rPr>
          <w:rFonts w:hint="eastAsia" w:ascii="宋体" w:hAnsi="宋体" w:eastAsia="宋体" w:cs="宋体"/>
          <w:bCs/>
          <w:sz w:val="24"/>
          <w:szCs w:val="21"/>
          <w:highlight w:val="none"/>
        </w:rPr>
      </w:pPr>
    </w:p>
    <w:p>
      <w:pPr>
        <w:spacing w:line="460" w:lineRule="exact"/>
        <w:rPr>
          <w:rFonts w:hint="eastAsia" w:ascii="宋体" w:hAnsi="宋体" w:eastAsia="宋体" w:cs="宋体"/>
          <w:bCs/>
          <w:sz w:val="24"/>
          <w:szCs w:val="21"/>
          <w:highlight w:val="none"/>
        </w:rPr>
      </w:pPr>
    </w:p>
    <w:p>
      <w:pPr>
        <w:spacing w:line="460" w:lineRule="exact"/>
        <w:rPr>
          <w:rFonts w:hint="eastAsia" w:ascii="宋体" w:hAnsi="宋体" w:eastAsia="宋体" w:cs="宋体"/>
          <w:bCs/>
          <w:sz w:val="24"/>
          <w:szCs w:val="21"/>
          <w:highlight w:val="none"/>
        </w:rPr>
      </w:pPr>
    </w:p>
    <w:p>
      <w:pPr>
        <w:spacing w:line="460" w:lineRule="exact"/>
        <w:rPr>
          <w:rFonts w:hint="eastAsia" w:ascii="宋体" w:hAnsi="宋体" w:eastAsia="宋体" w:cs="宋体"/>
          <w:bCs/>
          <w:sz w:val="24"/>
          <w:szCs w:val="21"/>
          <w:highlight w:val="none"/>
        </w:rPr>
      </w:pPr>
    </w:p>
    <w:p>
      <w:pPr>
        <w:spacing w:line="460" w:lineRule="exact"/>
        <w:rPr>
          <w:rFonts w:hint="eastAsia" w:ascii="宋体" w:hAnsi="宋体" w:eastAsia="宋体" w:cs="宋体"/>
          <w:bCs/>
          <w:sz w:val="24"/>
          <w:szCs w:val="21"/>
          <w:highlight w:val="none"/>
        </w:rPr>
      </w:pPr>
    </w:p>
    <w:p>
      <w:pPr>
        <w:spacing w:line="560" w:lineRule="exact"/>
        <w:ind w:firstLine="240" w:firstLineChars="100"/>
        <w:rPr>
          <w:rFonts w:hint="eastAsia" w:ascii="宋体" w:hAnsi="宋体" w:eastAsia="宋体" w:cs="宋体"/>
          <w:sz w:val="24"/>
          <w:szCs w:val="21"/>
          <w:highlight w:val="none"/>
        </w:rPr>
      </w:pPr>
    </w:p>
    <w:p>
      <w:pPr>
        <w:widowControl/>
        <w:jc w:val="left"/>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br w:type="page"/>
      </w:r>
    </w:p>
    <w:p>
      <w:pPr>
        <w:widowControl/>
        <w:jc w:val="left"/>
        <w:rPr>
          <w:rFonts w:hint="eastAsia" w:ascii="宋体" w:hAnsi="宋体" w:eastAsia="宋体" w:cs="宋体"/>
          <w:bCs/>
          <w:color w:val="000000" w:themeColor="text1"/>
          <w:sz w:val="24"/>
          <w:szCs w:val="24"/>
          <w:highlight w:val="none"/>
        </w:rPr>
      </w:pPr>
      <w:bookmarkStart w:id="62" w:name="_Toc55147055"/>
      <w:r>
        <w:rPr>
          <w:rFonts w:hint="eastAsia" w:ascii="宋体" w:hAnsi="宋体" w:eastAsia="宋体" w:cs="宋体"/>
          <w:bCs/>
          <w:color w:val="000000" w:themeColor="text1"/>
          <w:sz w:val="24"/>
          <w:szCs w:val="24"/>
          <w:highlight w:val="none"/>
        </w:rPr>
        <w:t>（四）法定代表人资格证明书/法定代表人授权委托书</w:t>
      </w:r>
      <w:bookmarkEnd w:id="62"/>
      <w:r>
        <w:rPr>
          <w:rFonts w:hint="eastAsia" w:ascii="宋体" w:hAnsi="宋体" w:eastAsia="宋体" w:cs="宋体"/>
          <w:sz w:val="24"/>
          <w:szCs w:val="24"/>
          <w:highlight w:val="none"/>
        </w:rPr>
        <w:t>（格式）</w:t>
      </w:r>
    </w:p>
    <w:p>
      <w:pPr>
        <w:spacing w:line="580" w:lineRule="exact"/>
        <w:jc w:val="center"/>
        <w:rPr>
          <w:rFonts w:hint="eastAsia" w:ascii="宋体" w:hAnsi="宋体" w:eastAsia="宋体" w:cs="宋体"/>
          <w:bCs/>
          <w:color w:val="000000" w:themeColor="text1"/>
          <w:sz w:val="28"/>
          <w:szCs w:val="28"/>
          <w:highlight w:val="none"/>
        </w:rPr>
      </w:pPr>
      <w:r>
        <w:rPr>
          <w:rFonts w:hint="eastAsia" w:ascii="宋体" w:hAnsi="宋体" w:eastAsia="宋体" w:cs="宋体"/>
          <w:bCs/>
          <w:color w:val="000000" w:themeColor="text1"/>
          <w:sz w:val="28"/>
          <w:szCs w:val="28"/>
          <w:highlight w:val="none"/>
        </w:rPr>
        <w:t>法定代表人资格证明书</w:t>
      </w:r>
    </w:p>
    <w:p>
      <w:pPr>
        <w:spacing w:line="580" w:lineRule="exact"/>
        <w:jc w:val="center"/>
        <w:rPr>
          <w:rFonts w:hint="eastAsia" w:ascii="宋体" w:hAnsi="宋体" w:eastAsia="宋体" w:cs="宋体"/>
          <w:bCs/>
          <w:color w:val="000000" w:themeColor="text1"/>
          <w:sz w:val="28"/>
          <w:szCs w:val="28"/>
          <w:highlight w:val="none"/>
        </w:rPr>
      </w:pPr>
    </w:p>
    <w:p>
      <w:pPr>
        <w:spacing w:line="560" w:lineRule="exact"/>
        <w:rPr>
          <w:rFonts w:hint="eastAsia" w:ascii="宋体" w:hAnsi="宋体" w:eastAsia="宋体" w:cs="宋体"/>
          <w:sz w:val="24"/>
          <w:highlight w:val="none"/>
        </w:rPr>
      </w:pPr>
      <w:r>
        <w:rPr>
          <w:rFonts w:hint="eastAsia" w:ascii="宋体" w:hAnsi="宋体" w:eastAsia="宋体" w:cs="宋体"/>
          <w:sz w:val="24"/>
          <w:highlight w:val="none"/>
        </w:rPr>
        <w:t xml:space="preserve">姓名: </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性别:</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年龄:</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职务:</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（供应商名称）的法定代表人。为实施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w:t>
      </w:r>
      <w:r>
        <w:rPr>
          <w:rFonts w:hint="eastAsia" w:ascii="宋体" w:hAnsi="宋体" w:eastAsia="宋体" w:cs="宋体"/>
          <w:bCs/>
          <w:color w:val="000000" w:themeColor="text1"/>
          <w:sz w:val="24"/>
          <w:szCs w:val="24"/>
          <w:highlight w:val="none"/>
        </w:rPr>
        <w:t>项目编号：</w:t>
      </w:r>
      <w:r>
        <w:rPr>
          <w:rFonts w:hint="eastAsia" w:ascii="宋体" w:hAnsi="宋体" w:eastAsia="宋体" w:cs="宋体"/>
          <w:bCs/>
          <w:color w:val="000000" w:themeColor="text1"/>
          <w:sz w:val="24"/>
          <w:szCs w:val="24"/>
          <w:highlight w:val="none"/>
          <w:u w:val="single"/>
        </w:rPr>
        <w:t xml:space="preserve">                     </w:t>
      </w:r>
      <w:r>
        <w:rPr>
          <w:rFonts w:hint="eastAsia" w:ascii="宋体" w:hAnsi="宋体" w:eastAsia="宋体" w:cs="宋体"/>
          <w:sz w:val="24"/>
          <w:highlight w:val="none"/>
        </w:rPr>
        <w:t>）的工作，签署上述项目的响应文件、进行合同谈判、签署合同和处理与之有关的一切事务。</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特此证明。</w:t>
      </w:r>
    </w:p>
    <w:p>
      <w:pPr>
        <w:spacing w:line="560" w:lineRule="exact"/>
        <w:rPr>
          <w:rFonts w:hint="eastAsia" w:ascii="宋体" w:hAnsi="宋体" w:eastAsia="宋体" w:cs="宋体"/>
          <w:sz w:val="24"/>
          <w:highlight w:val="none"/>
        </w:rPr>
      </w:pPr>
    </w:p>
    <w:p>
      <w:pPr>
        <w:spacing w:line="560" w:lineRule="exact"/>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供应商：（公章）</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法定代表人签字或盖章：</w:t>
      </w:r>
    </w:p>
    <w:p>
      <w:pPr>
        <w:spacing w:line="360" w:lineRule="auto"/>
        <w:ind w:firstLine="4320" w:firstLineChars="1800"/>
        <w:rPr>
          <w:rFonts w:hint="eastAsia" w:ascii="宋体" w:hAnsi="宋体" w:eastAsia="宋体" w:cs="宋体"/>
          <w:sz w:val="24"/>
          <w:highlight w:val="none"/>
        </w:rPr>
      </w:pPr>
      <w:r>
        <w:rPr>
          <w:rFonts w:hint="eastAsia" w:ascii="宋体" w:hAnsi="宋体" w:eastAsia="宋体" w:cs="宋体"/>
          <w:sz w:val="24"/>
          <w:szCs w:val="24"/>
          <w:highlight w:val="none"/>
        </w:rPr>
        <w:t>日期:</w:t>
      </w:r>
      <w:r>
        <w:rPr>
          <w:rFonts w:hint="eastAsia" w:ascii="宋体" w:hAnsi="宋体" w:eastAsia="宋体" w:cs="宋体"/>
          <w:bCs/>
          <w:sz w:val="24"/>
          <w:highlight w:val="none"/>
          <w:u w:val="single"/>
        </w:rPr>
        <w:t xml:space="preserve"> ______</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p>
    <w:p>
      <w:pPr>
        <w:snapToGrid w:val="0"/>
        <w:spacing w:line="560" w:lineRule="exact"/>
        <w:rPr>
          <w:rFonts w:hint="eastAsia" w:ascii="宋体" w:hAnsi="宋体" w:eastAsia="宋体" w:cs="宋体"/>
          <w:sz w:val="24"/>
          <w:highlight w:val="none"/>
        </w:rPr>
      </w:pPr>
    </w:p>
    <w:p>
      <w:pPr>
        <w:snapToGrid w:val="0"/>
        <w:spacing w:line="560" w:lineRule="exact"/>
        <w:rPr>
          <w:rFonts w:hint="eastAsia" w:ascii="宋体" w:hAnsi="宋体" w:eastAsia="宋体" w:cs="宋体"/>
          <w:b/>
          <w:sz w:val="24"/>
          <w:highlight w:val="none"/>
        </w:rPr>
      </w:pPr>
    </w:p>
    <w:p>
      <w:pPr>
        <w:autoSpaceDE w:val="0"/>
        <w:autoSpaceDN w:val="0"/>
        <w:adjustRightInd w:val="0"/>
        <w:rPr>
          <w:rFonts w:hint="eastAsia" w:ascii="宋体" w:hAnsi="宋体" w:eastAsia="宋体" w:cs="宋体"/>
          <w:sz w:val="24"/>
          <w:highlight w:val="none"/>
        </w:rPr>
      </w:pPr>
    </w:p>
    <w:p>
      <w:pPr>
        <w:autoSpaceDE w:val="0"/>
        <w:autoSpaceDN w:val="0"/>
        <w:adjustRightInd w:val="0"/>
        <w:rPr>
          <w:rFonts w:hint="eastAsia" w:ascii="宋体" w:hAnsi="宋体" w:eastAsia="宋体" w:cs="宋体"/>
          <w:sz w:val="24"/>
          <w:highlight w:val="none"/>
        </w:rPr>
      </w:pPr>
    </w:p>
    <w:p>
      <w:pPr>
        <w:autoSpaceDE w:val="0"/>
        <w:autoSpaceDN w:val="0"/>
        <w:adjustRightInd w:val="0"/>
        <w:rPr>
          <w:rFonts w:hint="eastAsia" w:ascii="宋体" w:hAnsi="宋体" w:eastAsia="宋体" w:cs="宋体"/>
          <w:sz w:val="24"/>
          <w:highlight w:val="none"/>
        </w:rPr>
      </w:pPr>
      <w:r>
        <w:rPr>
          <w:rFonts w:hint="eastAsia" w:ascii="宋体" w:hAnsi="宋体" w:eastAsia="宋体" w:cs="宋体"/>
          <w:sz w:val="24"/>
          <w:highlight w:val="none"/>
        </w:rPr>
        <w:t>法定代表人身份证</w:t>
      </w:r>
    </w:p>
    <w:p>
      <w:pPr>
        <w:autoSpaceDE w:val="0"/>
        <w:autoSpaceDN w:val="0"/>
        <w:adjustRightInd w:val="0"/>
        <w:rPr>
          <w:rFonts w:hint="eastAsia" w:ascii="宋体" w:hAnsi="宋体" w:eastAsia="宋体" w:cs="宋体"/>
          <w:sz w:val="24"/>
          <w:highlight w:val="none"/>
        </w:rPr>
      </w:pPr>
      <w:r>
        <w:rPr>
          <w:rFonts w:hint="eastAsia" w:ascii="宋体" w:hAnsi="宋体" w:eastAsia="宋体" w:cs="宋体"/>
          <w:sz w:val="24"/>
          <w:highlight w:val="none"/>
        </w:rPr>
        <w:t>（双面复印件）粘贴处</w:t>
      </w:r>
    </w:p>
    <w:p>
      <w:pPr>
        <w:autoSpaceDE w:val="0"/>
        <w:autoSpaceDN w:val="0"/>
        <w:adjustRightInd w:val="0"/>
        <w:rPr>
          <w:rFonts w:hint="eastAsia" w:ascii="宋体" w:hAnsi="宋体" w:eastAsia="宋体" w:cs="宋体"/>
          <w:sz w:val="24"/>
          <w:highlight w:val="none"/>
        </w:rPr>
      </w:pPr>
    </w:p>
    <w:p>
      <w:pPr>
        <w:autoSpaceDE w:val="0"/>
        <w:autoSpaceDN w:val="0"/>
        <w:adjustRightInd w:val="0"/>
        <w:rPr>
          <w:rFonts w:hint="eastAsia" w:ascii="宋体" w:hAnsi="宋体" w:eastAsia="宋体" w:cs="宋体"/>
          <w:sz w:val="24"/>
          <w:highlight w:val="none"/>
        </w:rPr>
      </w:pPr>
    </w:p>
    <w:p>
      <w:pPr>
        <w:autoSpaceDE w:val="0"/>
        <w:autoSpaceDN w:val="0"/>
        <w:adjustRightInd w:val="0"/>
        <w:rPr>
          <w:rFonts w:hint="eastAsia" w:ascii="宋体" w:hAnsi="宋体" w:eastAsia="宋体" w:cs="宋体"/>
          <w:sz w:val="24"/>
          <w:highlight w:val="none"/>
        </w:rPr>
      </w:pPr>
    </w:p>
    <w:p>
      <w:pPr>
        <w:autoSpaceDE w:val="0"/>
        <w:autoSpaceDN w:val="0"/>
        <w:adjustRightInd w:val="0"/>
        <w:rPr>
          <w:rFonts w:hint="eastAsia" w:ascii="宋体" w:hAnsi="宋体" w:eastAsia="宋体" w:cs="宋体"/>
          <w:sz w:val="24"/>
          <w:highlight w:val="none"/>
        </w:rPr>
      </w:pPr>
    </w:p>
    <w:p>
      <w:pPr>
        <w:snapToGrid w:val="0"/>
        <w:spacing w:line="360" w:lineRule="auto"/>
        <w:rPr>
          <w:rFonts w:hint="eastAsia" w:ascii="宋体" w:hAnsi="宋体" w:eastAsia="宋体" w:cs="宋体"/>
          <w:sz w:val="24"/>
          <w:highlight w:val="none"/>
        </w:rPr>
      </w:pPr>
    </w:p>
    <w:p>
      <w:pPr>
        <w:snapToGrid w:val="0"/>
        <w:spacing w:line="360" w:lineRule="auto"/>
        <w:rPr>
          <w:rFonts w:hint="eastAsia" w:ascii="宋体" w:hAnsi="宋体" w:eastAsia="宋体" w:cs="宋体"/>
          <w:sz w:val="24"/>
          <w:highlight w:val="none"/>
        </w:rPr>
      </w:pPr>
    </w:p>
    <w:p>
      <w:pPr>
        <w:widowControl/>
        <w:jc w:val="left"/>
        <w:rPr>
          <w:rFonts w:hint="eastAsia" w:ascii="宋体" w:hAnsi="宋体" w:eastAsia="宋体" w:cs="宋体"/>
          <w:bCs/>
          <w:color w:val="000000" w:themeColor="text1"/>
          <w:sz w:val="28"/>
          <w:szCs w:val="28"/>
          <w:highlight w:val="none"/>
        </w:rPr>
      </w:pPr>
      <w:r>
        <w:rPr>
          <w:rFonts w:hint="eastAsia" w:ascii="宋体" w:hAnsi="宋体" w:eastAsia="宋体" w:cs="宋体"/>
          <w:bCs/>
          <w:color w:val="000000" w:themeColor="text1"/>
          <w:sz w:val="28"/>
          <w:szCs w:val="28"/>
          <w:highlight w:val="none"/>
        </w:rPr>
        <w:br w:type="page"/>
      </w:r>
    </w:p>
    <w:p>
      <w:pPr>
        <w:spacing w:line="580" w:lineRule="exact"/>
        <w:jc w:val="center"/>
        <w:rPr>
          <w:rFonts w:hint="eastAsia" w:ascii="宋体" w:hAnsi="宋体" w:eastAsia="宋体" w:cs="宋体"/>
          <w:bCs/>
          <w:color w:val="000000" w:themeColor="text1"/>
          <w:sz w:val="28"/>
          <w:szCs w:val="28"/>
          <w:highlight w:val="none"/>
        </w:rPr>
      </w:pPr>
      <w:bookmarkStart w:id="63" w:name="_Toc55147056"/>
      <w:r>
        <w:rPr>
          <w:rFonts w:hint="eastAsia" w:ascii="宋体" w:hAnsi="宋体" w:eastAsia="宋体" w:cs="宋体"/>
          <w:bCs/>
          <w:color w:val="000000" w:themeColor="text1"/>
          <w:sz w:val="28"/>
          <w:szCs w:val="28"/>
          <w:highlight w:val="none"/>
        </w:rPr>
        <w:t>法定代表人授权委托书</w:t>
      </w:r>
    </w:p>
    <w:p>
      <w:pPr>
        <w:spacing w:line="360" w:lineRule="auto"/>
        <w:jc w:val="center"/>
        <w:rPr>
          <w:rFonts w:hint="eastAsia" w:ascii="宋体" w:hAnsi="宋体" w:eastAsia="宋体" w:cs="宋体"/>
          <w:bCs/>
          <w:color w:val="000000" w:themeColor="text1"/>
          <w:sz w:val="36"/>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本授权委托书声明：</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______________________</w:t>
      </w:r>
      <w:r>
        <w:rPr>
          <w:rFonts w:hint="eastAsia" w:ascii="宋体" w:hAnsi="宋体" w:eastAsia="宋体" w:cs="宋体"/>
          <w:sz w:val="24"/>
          <w:highlight w:val="none"/>
        </w:rPr>
        <w:t>（供应商名称）的</w:t>
      </w:r>
      <w:r>
        <w:rPr>
          <w:rFonts w:hint="eastAsia" w:ascii="宋体" w:hAnsi="宋体" w:eastAsia="宋体" w:cs="宋体"/>
          <w:sz w:val="24"/>
          <w:highlight w:val="none"/>
          <w:u w:val="single"/>
        </w:rPr>
        <w:t>____________</w:t>
      </w:r>
      <w:r>
        <w:rPr>
          <w:rFonts w:hint="eastAsia" w:ascii="宋体" w:hAnsi="宋体" w:eastAsia="宋体" w:cs="宋体"/>
          <w:sz w:val="24"/>
          <w:highlight w:val="none"/>
        </w:rPr>
        <w:t>（法定代表人姓名、职务）代表供应商授权</w:t>
      </w:r>
      <w:r>
        <w:rPr>
          <w:rFonts w:hint="eastAsia" w:ascii="宋体" w:hAnsi="宋体" w:eastAsia="宋体" w:cs="宋体"/>
          <w:sz w:val="24"/>
          <w:highlight w:val="none"/>
          <w:u w:val="single"/>
        </w:rPr>
        <w:t>_____________</w:t>
      </w:r>
      <w:r>
        <w:rPr>
          <w:rFonts w:hint="eastAsia" w:ascii="宋体" w:hAnsi="宋体" w:eastAsia="宋体" w:cs="宋体"/>
          <w:sz w:val="24"/>
          <w:highlight w:val="none"/>
        </w:rPr>
        <w:t>（被授权代表姓名）为</w:t>
      </w:r>
      <w:r>
        <w:rPr>
          <w:rFonts w:hint="eastAsia" w:ascii="宋体" w:hAnsi="宋体" w:eastAsia="宋体" w:cs="宋体"/>
          <w:sz w:val="24"/>
          <w:highlight w:val="none"/>
          <w:u w:val="single"/>
        </w:rPr>
        <w:t xml:space="preserve">                  项目</w:t>
      </w:r>
      <w:r>
        <w:rPr>
          <w:rFonts w:hint="eastAsia" w:ascii="宋体" w:hAnsi="宋体" w:eastAsia="宋体" w:cs="宋体"/>
          <w:sz w:val="24"/>
          <w:highlight w:val="none"/>
        </w:rPr>
        <w:t>（</w:t>
      </w:r>
      <w:r>
        <w:rPr>
          <w:rFonts w:hint="eastAsia" w:ascii="宋体" w:hAnsi="宋体" w:eastAsia="宋体" w:cs="宋体"/>
          <w:bCs/>
          <w:color w:val="000000" w:themeColor="text1"/>
          <w:sz w:val="24"/>
          <w:szCs w:val="24"/>
          <w:highlight w:val="none"/>
        </w:rPr>
        <w:t>项目编号：</w:t>
      </w:r>
      <w:r>
        <w:rPr>
          <w:rFonts w:hint="eastAsia" w:ascii="宋体" w:hAnsi="宋体" w:eastAsia="宋体" w:cs="宋体"/>
          <w:bCs/>
          <w:color w:val="000000" w:themeColor="text1"/>
          <w:sz w:val="24"/>
          <w:szCs w:val="24"/>
          <w:highlight w:val="none"/>
          <w:u w:val="single"/>
        </w:rPr>
        <w:t xml:space="preserve">               </w:t>
      </w:r>
      <w:r>
        <w:rPr>
          <w:rFonts w:hint="eastAsia" w:ascii="宋体" w:hAnsi="宋体" w:eastAsia="宋体" w:cs="宋体"/>
          <w:sz w:val="24"/>
          <w:highlight w:val="none"/>
        </w:rPr>
        <w:t>）报价的合法代理人，全权负责参加本次政府采购项目的报价、</w:t>
      </w:r>
      <w:r>
        <w:rPr>
          <w:rFonts w:hint="eastAsia" w:ascii="宋体" w:hAnsi="宋体" w:eastAsia="宋体" w:cs="宋体"/>
          <w:bCs/>
          <w:color w:val="000000" w:themeColor="text1"/>
          <w:sz w:val="24"/>
          <w:szCs w:val="24"/>
          <w:highlight w:val="none"/>
        </w:rPr>
        <w:t>参与协商、签约</w:t>
      </w:r>
      <w:r>
        <w:rPr>
          <w:rFonts w:hint="eastAsia" w:ascii="宋体" w:hAnsi="宋体" w:eastAsia="宋体" w:cs="宋体"/>
          <w:sz w:val="24"/>
          <w:highlight w:val="none"/>
        </w:rPr>
        <w:t>以及与之相关的各项工作。本供应商对代理人的所有签字负全部责任。</w:t>
      </w:r>
    </w:p>
    <w:p>
      <w:pPr>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我公司（单位）对被授权代表的签名负全部责任。</w:t>
      </w:r>
    </w:p>
    <w:p>
      <w:pPr>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在撤销授权的书面通知送达贵公司以前，本授权书一直有效，被授权代表签署的所有文件（在授权书有效期内签署的）不因授权的撤销而失效。</w:t>
      </w:r>
    </w:p>
    <w:p>
      <w:pPr>
        <w:spacing w:line="360" w:lineRule="auto"/>
        <w:ind w:firstLine="480" w:firstLineChars="200"/>
        <w:rPr>
          <w:rFonts w:hint="eastAsia" w:ascii="宋体" w:hAnsi="宋体" w:eastAsia="宋体" w:cs="宋体"/>
          <w:bCs/>
          <w:color w:val="000000" w:themeColor="text1"/>
          <w:sz w:val="24"/>
          <w:szCs w:val="24"/>
          <w:highlight w:val="none"/>
        </w:rPr>
      </w:pPr>
    </w:p>
    <w:p>
      <w:pPr>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被授权代表情况：</w:t>
      </w:r>
    </w:p>
    <w:p>
      <w:pPr>
        <w:spacing w:line="360" w:lineRule="auto"/>
        <w:ind w:firstLine="676" w:firstLineChars="282"/>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姓名：</w:t>
      </w:r>
      <w:r>
        <w:rPr>
          <w:rFonts w:hint="eastAsia" w:ascii="宋体" w:hAnsi="宋体" w:eastAsia="宋体" w:cs="宋体"/>
          <w:bCs/>
          <w:color w:val="000000" w:themeColor="text1"/>
          <w:sz w:val="24"/>
          <w:szCs w:val="24"/>
          <w:highlight w:val="none"/>
        </w:rPr>
        <w:tab/>
      </w:r>
      <w:r>
        <w:rPr>
          <w:rFonts w:hint="eastAsia" w:ascii="宋体" w:hAnsi="宋体" w:eastAsia="宋体" w:cs="宋体"/>
          <w:bCs/>
          <w:color w:val="000000" w:themeColor="text1"/>
          <w:sz w:val="24"/>
          <w:szCs w:val="24"/>
          <w:highlight w:val="none"/>
        </w:rPr>
        <w:tab/>
      </w:r>
      <w:r>
        <w:rPr>
          <w:rFonts w:hint="eastAsia" w:ascii="宋体" w:hAnsi="宋体" w:eastAsia="宋体" w:cs="宋体"/>
          <w:bCs/>
          <w:color w:val="000000" w:themeColor="text1"/>
          <w:sz w:val="24"/>
          <w:szCs w:val="24"/>
          <w:highlight w:val="none"/>
        </w:rPr>
        <w:tab/>
      </w:r>
      <w:r>
        <w:rPr>
          <w:rFonts w:hint="eastAsia" w:ascii="宋体" w:hAnsi="宋体" w:eastAsia="宋体" w:cs="宋体"/>
          <w:bCs/>
          <w:color w:val="000000" w:themeColor="text1"/>
          <w:sz w:val="24"/>
          <w:szCs w:val="24"/>
          <w:highlight w:val="none"/>
        </w:rPr>
        <w:tab/>
      </w:r>
      <w:r>
        <w:rPr>
          <w:rFonts w:hint="eastAsia" w:ascii="宋体" w:hAnsi="宋体" w:eastAsia="宋体" w:cs="宋体"/>
          <w:bCs/>
          <w:color w:val="000000" w:themeColor="text1"/>
          <w:sz w:val="24"/>
          <w:szCs w:val="24"/>
          <w:highlight w:val="none"/>
        </w:rPr>
        <w:tab/>
      </w:r>
      <w:r>
        <w:rPr>
          <w:rFonts w:hint="eastAsia" w:ascii="宋体" w:hAnsi="宋体" w:eastAsia="宋体" w:cs="宋体"/>
          <w:bCs/>
          <w:color w:val="000000" w:themeColor="text1"/>
          <w:sz w:val="24"/>
          <w:szCs w:val="24"/>
          <w:highlight w:val="none"/>
        </w:rPr>
        <w:t>性别：</w:t>
      </w:r>
      <w:r>
        <w:rPr>
          <w:rFonts w:hint="eastAsia" w:ascii="宋体" w:hAnsi="宋体" w:eastAsia="宋体" w:cs="宋体"/>
          <w:bCs/>
          <w:color w:val="000000" w:themeColor="text1"/>
          <w:sz w:val="24"/>
          <w:szCs w:val="24"/>
          <w:highlight w:val="none"/>
        </w:rPr>
        <w:tab/>
      </w:r>
      <w:r>
        <w:rPr>
          <w:rFonts w:hint="eastAsia" w:ascii="宋体" w:hAnsi="宋体" w:eastAsia="宋体" w:cs="宋体"/>
          <w:bCs/>
          <w:color w:val="000000" w:themeColor="text1"/>
          <w:sz w:val="24"/>
          <w:szCs w:val="24"/>
          <w:highlight w:val="none"/>
        </w:rPr>
        <w:tab/>
      </w:r>
      <w:r>
        <w:rPr>
          <w:rFonts w:hint="eastAsia" w:ascii="宋体" w:hAnsi="宋体" w:eastAsia="宋体" w:cs="宋体"/>
          <w:bCs/>
          <w:color w:val="000000" w:themeColor="text1"/>
          <w:sz w:val="24"/>
          <w:szCs w:val="24"/>
          <w:highlight w:val="none"/>
        </w:rPr>
        <w:tab/>
      </w:r>
      <w:r>
        <w:rPr>
          <w:rFonts w:hint="eastAsia" w:ascii="宋体" w:hAnsi="宋体" w:eastAsia="宋体" w:cs="宋体"/>
          <w:bCs/>
          <w:color w:val="000000" w:themeColor="text1"/>
          <w:sz w:val="24"/>
          <w:szCs w:val="24"/>
          <w:highlight w:val="none"/>
        </w:rPr>
        <w:tab/>
      </w:r>
      <w:r>
        <w:rPr>
          <w:rFonts w:hint="eastAsia" w:ascii="宋体" w:hAnsi="宋体" w:eastAsia="宋体" w:cs="宋体"/>
          <w:bCs/>
          <w:color w:val="000000" w:themeColor="text1"/>
          <w:sz w:val="24"/>
          <w:szCs w:val="24"/>
          <w:highlight w:val="none"/>
        </w:rPr>
        <w:tab/>
      </w:r>
      <w:r>
        <w:rPr>
          <w:rFonts w:hint="eastAsia" w:ascii="宋体" w:hAnsi="宋体" w:eastAsia="宋体" w:cs="宋体"/>
          <w:bCs/>
          <w:color w:val="000000" w:themeColor="text1"/>
          <w:sz w:val="24"/>
          <w:szCs w:val="24"/>
          <w:highlight w:val="none"/>
        </w:rPr>
        <w:t>电话：</w:t>
      </w:r>
      <w:r>
        <w:rPr>
          <w:rFonts w:hint="eastAsia" w:ascii="宋体" w:hAnsi="宋体" w:eastAsia="宋体" w:cs="宋体"/>
          <w:bCs/>
          <w:color w:val="000000" w:themeColor="text1"/>
          <w:sz w:val="24"/>
          <w:szCs w:val="24"/>
          <w:highlight w:val="none"/>
        </w:rPr>
        <w:tab/>
      </w:r>
      <w:r>
        <w:rPr>
          <w:rFonts w:hint="eastAsia" w:ascii="宋体" w:hAnsi="宋体" w:eastAsia="宋体" w:cs="宋体"/>
          <w:bCs/>
          <w:color w:val="000000" w:themeColor="text1"/>
          <w:sz w:val="24"/>
          <w:szCs w:val="24"/>
          <w:highlight w:val="none"/>
        </w:rPr>
        <w:tab/>
      </w:r>
      <w:r>
        <w:rPr>
          <w:rFonts w:hint="eastAsia" w:ascii="宋体" w:hAnsi="宋体" w:eastAsia="宋体" w:cs="宋体"/>
          <w:bCs/>
          <w:color w:val="000000" w:themeColor="text1"/>
          <w:sz w:val="24"/>
          <w:szCs w:val="24"/>
          <w:highlight w:val="none"/>
        </w:rPr>
        <w:tab/>
      </w:r>
      <w:r>
        <w:rPr>
          <w:rFonts w:hint="eastAsia" w:ascii="宋体" w:hAnsi="宋体" w:eastAsia="宋体" w:cs="宋体"/>
          <w:bCs/>
          <w:color w:val="000000" w:themeColor="text1"/>
          <w:sz w:val="24"/>
          <w:szCs w:val="24"/>
          <w:highlight w:val="none"/>
        </w:rPr>
        <w:tab/>
      </w:r>
      <w:r>
        <w:rPr>
          <w:rFonts w:hint="eastAsia" w:ascii="宋体" w:hAnsi="宋体" w:eastAsia="宋体" w:cs="宋体"/>
          <w:bCs/>
          <w:color w:val="000000" w:themeColor="text1"/>
          <w:sz w:val="24"/>
          <w:szCs w:val="24"/>
          <w:highlight w:val="none"/>
        </w:rPr>
        <w:tab/>
      </w:r>
      <w:r>
        <w:rPr>
          <w:rFonts w:hint="eastAsia" w:ascii="宋体" w:hAnsi="宋体" w:eastAsia="宋体" w:cs="宋体"/>
          <w:bCs/>
          <w:color w:val="000000" w:themeColor="text1"/>
          <w:sz w:val="24"/>
          <w:szCs w:val="24"/>
          <w:highlight w:val="none"/>
        </w:rPr>
        <w:t>职务：</w:t>
      </w:r>
    </w:p>
    <w:p>
      <w:pPr>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单位名称（盖章）：</w:t>
      </w:r>
    </w:p>
    <w:p>
      <w:pPr>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bCs/>
          <w:sz w:val="24"/>
          <w:highlight w:val="none"/>
          <w:u w:val="single"/>
        </w:rPr>
        <w:t xml:space="preserve"> ______</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p>
    <w:p>
      <w:pPr>
        <w:spacing w:line="360" w:lineRule="auto"/>
        <w:ind w:firstLine="480" w:firstLineChars="200"/>
        <w:rPr>
          <w:rFonts w:hint="eastAsia" w:ascii="宋体" w:hAnsi="宋体" w:eastAsia="宋体" w:cs="宋体"/>
          <w:bCs/>
          <w:color w:val="000000" w:themeColor="text1"/>
          <w:sz w:val="24"/>
          <w:szCs w:val="24"/>
          <w:highlight w:val="none"/>
        </w:rPr>
      </w:pPr>
    </w:p>
    <w:p>
      <w:pPr>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法定代表人（签字或盖章）：</w:t>
      </w:r>
      <w:r>
        <w:rPr>
          <w:rFonts w:hint="eastAsia" w:ascii="宋体" w:hAnsi="宋体" w:eastAsia="宋体" w:cs="宋体"/>
          <w:bCs/>
          <w:sz w:val="24"/>
          <w:highlight w:val="none"/>
          <w:u w:val="single"/>
        </w:rPr>
        <w:t>_____________</w:t>
      </w:r>
    </w:p>
    <w:p>
      <w:pPr>
        <w:spacing w:line="360" w:lineRule="auto"/>
        <w:ind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sz w:val="24"/>
          <w:highlight w:val="none"/>
        </w:rPr>
        <w:t>代理人（签字或盖章）：</w:t>
      </w:r>
      <w:r>
        <w:rPr>
          <w:rFonts w:hint="eastAsia" w:ascii="宋体" w:hAnsi="宋体" w:eastAsia="宋体" w:cs="宋体"/>
          <w:bCs/>
          <w:sz w:val="24"/>
          <w:highlight w:val="none"/>
          <w:u w:val="single"/>
        </w:rPr>
        <w:t>_____________</w:t>
      </w:r>
    </w:p>
    <w:p>
      <w:pPr>
        <w:spacing w:line="360" w:lineRule="auto"/>
        <w:ind w:firstLine="480" w:firstLineChars="200"/>
        <w:rPr>
          <w:rFonts w:hint="eastAsia" w:ascii="宋体" w:hAnsi="宋体" w:eastAsia="宋体" w:cs="宋体"/>
          <w:sz w:val="24"/>
          <w:highlight w:val="none"/>
        </w:rPr>
      </w:pPr>
    </w:p>
    <w:p>
      <w:pPr>
        <w:autoSpaceDE w:val="0"/>
        <w:autoSpaceDN w:val="0"/>
        <w:adjustRightIn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法定代表人身份证</w:t>
      </w:r>
    </w:p>
    <w:p>
      <w:pPr>
        <w:autoSpaceDE w:val="0"/>
        <w:autoSpaceDN w:val="0"/>
        <w:adjustRightInd w:val="0"/>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（双面复印件）粘贴处</w:t>
      </w:r>
    </w:p>
    <w:p>
      <w:pPr>
        <w:autoSpaceDE w:val="0"/>
        <w:autoSpaceDN w:val="0"/>
        <w:adjustRightInd w:val="0"/>
        <w:spacing w:line="360" w:lineRule="auto"/>
        <w:rPr>
          <w:rFonts w:hint="eastAsia" w:ascii="宋体" w:hAnsi="宋体" w:eastAsia="宋体" w:cs="宋体"/>
          <w:sz w:val="24"/>
          <w:highlight w:val="none"/>
        </w:rPr>
      </w:pPr>
    </w:p>
    <w:p>
      <w:pPr>
        <w:autoSpaceDE w:val="0"/>
        <w:autoSpaceDN w:val="0"/>
        <w:adjustRightIn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代理人身份证：</w:t>
      </w:r>
    </w:p>
    <w:p>
      <w:pPr>
        <w:autoSpaceDE w:val="0"/>
        <w:autoSpaceDN w:val="0"/>
        <w:adjustRightIn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（双面复印件）粘贴处</w:t>
      </w:r>
    </w:p>
    <w:p>
      <w:pPr>
        <w:spacing w:line="360" w:lineRule="auto"/>
        <w:ind w:firstLine="480" w:firstLineChars="200"/>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备注：</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1.法定代表人参加报价时，需携带法定代表人资格证明书和本人身份证原件。</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2.代理人参加报价时，需携带法定代表人授权委托书和本人身份证原件。</w:t>
      </w:r>
    </w:p>
    <w:p>
      <w:pPr>
        <w:snapToGrid w:val="0"/>
        <w:spacing w:line="360" w:lineRule="auto"/>
        <w:ind w:firstLine="480" w:firstLineChars="200"/>
        <w:rPr>
          <w:rFonts w:hint="eastAsia" w:ascii="宋体" w:hAnsi="宋体" w:eastAsia="宋体" w:cs="宋体"/>
          <w:sz w:val="24"/>
          <w:highlight w:val="none"/>
        </w:rPr>
      </w:pPr>
    </w:p>
    <w:bookmarkEnd w:id="63"/>
    <w:p>
      <w:pPr>
        <w:widowControl/>
        <w:jc w:val="left"/>
        <w:rPr>
          <w:rFonts w:hint="eastAsia" w:ascii="宋体" w:hAnsi="宋体" w:eastAsia="宋体" w:cs="宋体"/>
          <w:bCs/>
          <w:color w:val="000000" w:themeColor="text1"/>
          <w:sz w:val="24"/>
          <w:szCs w:val="24"/>
          <w:highlight w:val="none"/>
        </w:rPr>
      </w:pPr>
      <w:bookmarkStart w:id="64" w:name="_Toc59000743"/>
      <w:r>
        <w:rPr>
          <w:rFonts w:hint="eastAsia" w:ascii="宋体" w:hAnsi="宋体" w:eastAsia="宋体" w:cs="宋体"/>
          <w:bCs/>
          <w:color w:val="000000" w:themeColor="text1"/>
          <w:sz w:val="24"/>
          <w:szCs w:val="24"/>
          <w:highlight w:val="none"/>
        </w:rPr>
        <w:t>（五）具备履行合同所必需的设备和专业技术能力的书面声明（格式）</w:t>
      </w:r>
    </w:p>
    <w:p>
      <w:pPr>
        <w:widowControl/>
        <w:jc w:val="left"/>
        <w:rPr>
          <w:rFonts w:hint="eastAsia" w:ascii="宋体" w:hAnsi="宋体" w:eastAsia="宋体" w:cs="宋体"/>
          <w:bCs/>
          <w:sz w:val="24"/>
          <w:szCs w:val="24"/>
          <w:highlight w:val="none"/>
        </w:rPr>
      </w:pPr>
    </w:p>
    <w:p>
      <w:pPr>
        <w:widowControl/>
        <w:jc w:val="left"/>
        <w:rPr>
          <w:rFonts w:hint="eastAsia" w:ascii="宋体" w:hAnsi="宋体" w:eastAsia="宋体" w:cs="宋体"/>
          <w:bCs/>
          <w:sz w:val="24"/>
          <w:szCs w:val="24"/>
          <w:highlight w:val="none"/>
        </w:rPr>
      </w:pPr>
    </w:p>
    <w:p>
      <w:pPr>
        <w:tabs>
          <w:tab w:val="left" w:pos="360"/>
        </w:tabs>
        <w:ind w:firstLine="561"/>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具备履行合同所必需的设备和专业技术能力的书面声明</w:t>
      </w:r>
      <w:bookmarkEnd w:id="64"/>
    </w:p>
    <w:p>
      <w:pPr>
        <w:rPr>
          <w:rFonts w:hint="eastAsia" w:ascii="宋体" w:hAnsi="宋体" w:eastAsia="宋体" w:cs="宋体"/>
          <w:highlight w:val="none"/>
        </w:rPr>
      </w:pP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我单位郑重声明：我单位具备履行本项采购合同所必需的设备和专业技术能力，为履行本项采购合同我单位具备如下主要设备和主要专业技术能力：</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主要设备有：            </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主要专业技术能力有：  </w:t>
      </w: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ind w:firstLine="3120" w:firstLineChars="1300"/>
        <w:jc w:val="left"/>
        <w:rPr>
          <w:rFonts w:hint="eastAsia" w:ascii="宋体" w:hAnsi="宋体" w:eastAsia="宋体" w:cs="宋体"/>
          <w:bCs/>
          <w:sz w:val="24"/>
          <w:highlight w:val="none"/>
        </w:rPr>
      </w:pPr>
      <w:r>
        <w:rPr>
          <w:rFonts w:hint="eastAsia" w:ascii="宋体" w:hAnsi="宋体" w:eastAsia="宋体" w:cs="宋体"/>
          <w:bCs/>
          <w:sz w:val="24"/>
          <w:highlight w:val="none"/>
        </w:rPr>
        <w:t>单位名称（公章）：</w:t>
      </w:r>
    </w:p>
    <w:p>
      <w:pPr>
        <w:spacing w:line="460" w:lineRule="exact"/>
        <w:ind w:firstLine="3120" w:firstLineChars="1300"/>
        <w:jc w:val="left"/>
        <w:rPr>
          <w:rFonts w:hint="eastAsia" w:ascii="宋体" w:hAnsi="宋体" w:eastAsia="宋体" w:cs="宋体"/>
          <w:bCs/>
          <w:sz w:val="24"/>
          <w:highlight w:val="none"/>
        </w:rPr>
      </w:pPr>
      <w:r>
        <w:rPr>
          <w:rFonts w:hint="eastAsia" w:ascii="宋体" w:hAnsi="宋体" w:eastAsia="宋体" w:cs="宋体"/>
          <w:bCs/>
          <w:sz w:val="24"/>
          <w:highlight w:val="none"/>
        </w:rPr>
        <w:t>法定代表人或代理人（签字或盖章）：</w:t>
      </w:r>
      <w:r>
        <w:rPr>
          <w:rFonts w:hint="eastAsia" w:ascii="宋体" w:hAnsi="宋体" w:eastAsia="宋体" w:cs="宋体"/>
          <w:bCs/>
          <w:sz w:val="24"/>
          <w:highlight w:val="none"/>
          <w:u w:val="single"/>
        </w:rPr>
        <w:t>_____________</w:t>
      </w:r>
    </w:p>
    <w:p>
      <w:pPr>
        <w:spacing w:line="460" w:lineRule="exact"/>
        <w:ind w:firstLine="3120" w:firstLineChars="1300"/>
        <w:jc w:val="left"/>
        <w:rPr>
          <w:rFonts w:hint="eastAsia" w:ascii="宋体" w:hAnsi="宋体" w:eastAsia="宋体" w:cs="宋体"/>
          <w:bCs/>
          <w:sz w:val="24"/>
          <w:highlight w:val="none"/>
        </w:rPr>
      </w:pPr>
      <w:r>
        <w:rPr>
          <w:rFonts w:hint="eastAsia" w:ascii="宋体" w:hAnsi="宋体" w:eastAsia="宋体" w:cs="宋体"/>
          <w:bCs/>
          <w:sz w:val="24"/>
          <w:highlight w:val="none"/>
        </w:rPr>
        <w:t>日期：</w:t>
      </w:r>
      <w:r>
        <w:rPr>
          <w:rFonts w:hint="eastAsia" w:ascii="宋体" w:hAnsi="宋体" w:eastAsia="宋体" w:cs="宋体"/>
          <w:bCs/>
          <w:sz w:val="24"/>
          <w:highlight w:val="none"/>
          <w:u w:val="single"/>
        </w:rPr>
        <w:t>______</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p>
    <w:p>
      <w:pPr>
        <w:widowControl/>
        <w:jc w:val="left"/>
        <w:rPr>
          <w:rFonts w:hint="eastAsia" w:ascii="宋体" w:hAnsi="宋体" w:eastAsia="宋体" w:cs="宋体"/>
          <w:bCs/>
          <w:color w:val="000000" w:themeColor="text1"/>
          <w:sz w:val="24"/>
          <w:szCs w:val="24"/>
          <w:highlight w:val="none"/>
        </w:rPr>
      </w:pPr>
    </w:p>
    <w:p>
      <w:pPr>
        <w:spacing w:line="580" w:lineRule="exact"/>
        <w:ind w:firstLine="480" w:firstLineChars="200"/>
        <w:jc w:val="left"/>
        <w:rPr>
          <w:rFonts w:hint="eastAsia" w:ascii="宋体" w:hAnsi="宋体" w:eastAsia="宋体" w:cs="宋体"/>
          <w:bCs/>
          <w:color w:val="000000" w:themeColor="text1"/>
          <w:sz w:val="24"/>
          <w:szCs w:val="24"/>
          <w:highlight w:val="none"/>
        </w:rPr>
      </w:pPr>
    </w:p>
    <w:p>
      <w:pPr>
        <w:spacing w:line="580" w:lineRule="exact"/>
        <w:ind w:firstLine="480" w:firstLineChars="200"/>
        <w:rPr>
          <w:rFonts w:hint="eastAsia" w:ascii="宋体" w:hAnsi="宋体" w:eastAsia="宋体" w:cs="宋体"/>
          <w:bCs/>
          <w:color w:val="000000" w:themeColor="text1"/>
          <w:sz w:val="24"/>
          <w:szCs w:val="24"/>
          <w:highlight w:val="none"/>
        </w:rPr>
      </w:pPr>
    </w:p>
    <w:p>
      <w:pPr>
        <w:spacing w:line="580" w:lineRule="exact"/>
        <w:ind w:firstLine="480" w:firstLineChars="200"/>
        <w:rPr>
          <w:rFonts w:hint="eastAsia" w:ascii="宋体" w:hAnsi="宋体" w:eastAsia="宋体" w:cs="宋体"/>
          <w:bCs/>
          <w:color w:val="000000" w:themeColor="text1"/>
          <w:sz w:val="24"/>
          <w:szCs w:val="24"/>
          <w:highlight w:val="none"/>
        </w:rPr>
      </w:pPr>
    </w:p>
    <w:p>
      <w:pPr>
        <w:spacing w:line="580" w:lineRule="exact"/>
        <w:ind w:firstLine="480" w:firstLineChars="200"/>
        <w:rPr>
          <w:rFonts w:hint="eastAsia" w:ascii="宋体" w:hAnsi="宋体" w:eastAsia="宋体" w:cs="宋体"/>
          <w:bCs/>
          <w:color w:val="000000" w:themeColor="text1"/>
          <w:sz w:val="24"/>
          <w:szCs w:val="24"/>
          <w:highlight w:val="none"/>
        </w:rPr>
      </w:pPr>
    </w:p>
    <w:p>
      <w:pPr>
        <w:spacing w:line="580" w:lineRule="exact"/>
        <w:ind w:firstLine="480" w:firstLineChars="200"/>
        <w:rPr>
          <w:rFonts w:hint="eastAsia" w:ascii="宋体" w:hAnsi="宋体" w:eastAsia="宋体" w:cs="宋体"/>
          <w:bCs/>
          <w:color w:val="000000" w:themeColor="text1"/>
          <w:sz w:val="24"/>
          <w:szCs w:val="24"/>
          <w:highlight w:val="none"/>
        </w:rPr>
      </w:pPr>
    </w:p>
    <w:p>
      <w:pPr>
        <w:spacing w:line="580" w:lineRule="exact"/>
        <w:ind w:firstLine="480" w:firstLineChars="200"/>
        <w:rPr>
          <w:rFonts w:hint="eastAsia" w:ascii="宋体" w:hAnsi="宋体" w:eastAsia="宋体" w:cs="宋体"/>
          <w:bCs/>
          <w:color w:val="000000" w:themeColor="text1"/>
          <w:sz w:val="24"/>
          <w:szCs w:val="24"/>
          <w:highlight w:val="none"/>
        </w:rPr>
      </w:pPr>
    </w:p>
    <w:p>
      <w:pPr>
        <w:spacing w:line="580" w:lineRule="exact"/>
        <w:ind w:firstLine="480" w:firstLineChars="200"/>
        <w:rPr>
          <w:rFonts w:hint="eastAsia" w:ascii="宋体" w:hAnsi="宋体" w:eastAsia="宋体" w:cs="宋体"/>
          <w:bCs/>
          <w:color w:val="000000" w:themeColor="text1"/>
          <w:sz w:val="24"/>
          <w:szCs w:val="24"/>
          <w:highlight w:val="none"/>
        </w:rPr>
      </w:pPr>
    </w:p>
    <w:p>
      <w:pPr>
        <w:spacing w:line="580" w:lineRule="exact"/>
        <w:ind w:firstLine="480" w:firstLineChars="200"/>
        <w:rPr>
          <w:rFonts w:hint="eastAsia" w:ascii="宋体" w:hAnsi="宋体" w:eastAsia="宋体" w:cs="宋体"/>
          <w:bCs/>
          <w:color w:val="000000" w:themeColor="text1"/>
          <w:sz w:val="24"/>
          <w:szCs w:val="24"/>
          <w:highlight w:val="none"/>
        </w:rPr>
      </w:pPr>
    </w:p>
    <w:p>
      <w:pPr>
        <w:spacing w:line="580" w:lineRule="exact"/>
        <w:ind w:firstLine="480" w:firstLineChars="200"/>
        <w:rPr>
          <w:rFonts w:hint="eastAsia" w:ascii="宋体" w:hAnsi="宋体" w:eastAsia="宋体" w:cs="宋体"/>
          <w:bCs/>
          <w:color w:val="000000" w:themeColor="text1"/>
          <w:sz w:val="24"/>
          <w:szCs w:val="24"/>
          <w:highlight w:val="none"/>
        </w:rPr>
      </w:pPr>
    </w:p>
    <w:p>
      <w:pPr>
        <w:widowControl/>
        <w:jc w:val="left"/>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br w:type="page"/>
      </w:r>
    </w:p>
    <w:p>
      <w:pPr>
        <w:widowControl/>
        <w:jc w:val="left"/>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（六）参加政府采购活动前 3 年内在经营活动中没有重大违法记录的书面声明</w:t>
      </w:r>
      <w:r>
        <w:rPr>
          <w:rFonts w:hint="eastAsia" w:ascii="宋体" w:hAnsi="宋体" w:eastAsia="宋体" w:cs="宋体"/>
          <w:sz w:val="24"/>
          <w:szCs w:val="24"/>
          <w:highlight w:val="none"/>
        </w:rPr>
        <w:t>（格式）</w:t>
      </w:r>
    </w:p>
    <w:p>
      <w:pPr>
        <w:spacing w:line="580" w:lineRule="exact"/>
        <w:rPr>
          <w:rFonts w:hint="eastAsia" w:ascii="宋体" w:hAnsi="宋体" w:eastAsia="宋体" w:cs="宋体"/>
          <w:bCs/>
          <w:color w:val="000000" w:themeColor="text1"/>
          <w:sz w:val="24"/>
          <w:szCs w:val="24"/>
          <w:highlight w:val="none"/>
        </w:rPr>
      </w:pPr>
    </w:p>
    <w:p>
      <w:pPr>
        <w:tabs>
          <w:tab w:val="left" w:pos="360"/>
        </w:tabs>
        <w:ind w:firstLine="561"/>
        <w:jc w:val="center"/>
        <w:rPr>
          <w:rFonts w:hint="eastAsia" w:ascii="宋体" w:hAnsi="宋体" w:eastAsia="宋体" w:cs="宋体"/>
          <w:sz w:val="28"/>
          <w:szCs w:val="28"/>
          <w:highlight w:val="none"/>
        </w:rPr>
      </w:pPr>
      <w:bookmarkStart w:id="65" w:name="_Toc59000745"/>
      <w:r>
        <w:rPr>
          <w:rFonts w:hint="eastAsia" w:ascii="宋体" w:hAnsi="宋体" w:eastAsia="宋体" w:cs="宋体"/>
          <w:sz w:val="28"/>
          <w:szCs w:val="28"/>
          <w:highlight w:val="none"/>
        </w:rPr>
        <w:t>参加政府采购活动前 3 年内在经营活动中没有重大违法记录的书面声明</w:t>
      </w:r>
      <w:bookmarkEnd w:id="65"/>
    </w:p>
    <w:p>
      <w:pPr>
        <w:tabs>
          <w:tab w:val="left" w:pos="360"/>
        </w:tabs>
        <w:ind w:firstLine="561"/>
        <w:jc w:val="center"/>
        <w:rPr>
          <w:rFonts w:hint="eastAsia" w:ascii="宋体" w:hAnsi="宋体" w:eastAsia="宋体" w:cs="宋体"/>
          <w:sz w:val="28"/>
          <w:szCs w:val="28"/>
          <w:highlight w:val="none"/>
        </w:rPr>
      </w:pPr>
    </w:p>
    <w:p>
      <w:pPr>
        <w:spacing w:line="560" w:lineRule="exact"/>
        <w:rPr>
          <w:rFonts w:hint="eastAsia" w:ascii="宋体" w:hAnsi="宋体" w:eastAsia="宋体" w:cs="宋体"/>
          <w:b/>
          <w:bCs/>
          <w:sz w:val="36"/>
          <w:szCs w:val="36"/>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bCs/>
          <w:sz w:val="36"/>
          <w:szCs w:val="36"/>
          <w:highlight w:val="none"/>
        </w:rPr>
        <w:t xml:space="preserve">    声  明 </w:t>
      </w:r>
    </w:p>
    <w:p>
      <w:pPr>
        <w:spacing w:line="560" w:lineRule="exact"/>
        <w:rPr>
          <w:rFonts w:hint="eastAsia" w:ascii="宋体" w:hAnsi="宋体" w:eastAsia="宋体" w:cs="宋体"/>
          <w:b/>
          <w:bCs/>
          <w:sz w:val="32"/>
          <w:szCs w:val="32"/>
          <w:highlight w:val="none"/>
        </w:rPr>
      </w:pP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我单位郑重声明：参加本次政府采购活动前 3 年内，我单位在经营活动中没有因违法经营受到刑事处罚或者责令停产停业、吊销许可证或者执照、较大数额罚款等行政处罚。</w:t>
      </w:r>
    </w:p>
    <w:p>
      <w:pPr>
        <w:snapToGrid w:val="0"/>
        <w:spacing w:line="460" w:lineRule="exact"/>
        <w:rPr>
          <w:rFonts w:hint="eastAsia" w:ascii="宋体" w:hAnsi="宋体" w:eastAsia="宋体" w:cs="宋体"/>
          <w:sz w:val="24"/>
          <w:highlight w:val="none"/>
        </w:rPr>
      </w:pPr>
      <w:r>
        <w:rPr>
          <w:rFonts w:hint="eastAsia" w:ascii="宋体" w:hAnsi="宋体" w:eastAsia="宋体" w:cs="宋体"/>
          <w:sz w:val="24"/>
          <w:highlight w:val="none"/>
        </w:rPr>
        <w:t xml:space="preserve">    </w:t>
      </w:r>
    </w:p>
    <w:p>
      <w:pPr>
        <w:snapToGrid w:val="0"/>
        <w:spacing w:line="460" w:lineRule="exact"/>
        <w:ind w:firstLine="3120" w:firstLineChars="1300"/>
        <w:rPr>
          <w:rFonts w:hint="eastAsia" w:ascii="宋体" w:hAnsi="宋体" w:eastAsia="宋体" w:cs="宋体"/>
          <w:sz w:val="24"/>
          <w:highlight w:val="none"/>
        </w:rPr>
      </w:pPr>
      <w:r>
        <w:rPr>
          <w:rFonts w:hint="eastAsia" w:ascii="宋体" w:hAnsi="宋体" w:eastAsia="宋体" w:cs="宋体"/>
          <w:sz w:val="24"/>
          <w:highlight w:val="none"/>
        </w:rPr>
        <w:t>单位名称（公章）：</w:t>
      </w:r>
    </w:p>
    <w:p>
      <w:pPr>
        <w:snapToGrid w:val="0"/>
        <w:spacing w:line="460" w:lineRule="exact"/>
        <w:rPr>
          <w:rFonts w:hint="eastAsia" w:ascii="宋体" w:hAnsi="宋体" w:eastAsia="宋体" w:cs="宋体"/>
          <w:sz w:val="24"/>
          <w:highlight w:val="none"/>
        </w:rPr>
      </w:pPr>
      <w:r>
        <w:rPr>
          <w:rFonts w:hint="eastAsia" w:ascii="宋体" w:hAnsi="宋体" w:eastAsia="宋体" w:cs="宋体"/>
          <w:sz w:val="24"/>
          <w:highlight w:val="none"/>
        </w:rPr>
        <w:t xml:space="preserve">                          法定代表人或代理人（签字或盖章）：</w:t>
      </w:r>
      <w:r>
        <w:rPr>
          <w:rFonts w:hint="eastAsia" w:ascii="宋体" w:hAnsi="宋体" w:eastAsia="宋体" w:cs="宋体"/>
          <w:sz w:val="24"/>
          <w:highlight w:val="none"/>
          <w:u w:val="single"/>
        </w:rPr>
        <w:t>_______________</w:t>
      </w:r>
    </w:p>
    <w:p>
      <w:pPr>
        <w:spacing w:line="560" w:lineRule="exact"/>
        <w:ind w:firstLine="495"/>
        <w:rPr>
          <w:rFonts w:hint="eastAsia" w:ascii="宋体" w:hAnsi="宋体" w:eastAsia="宋体" w:cs="宋体"/>
          <w:sz w:val="24"/>
          <w:highlight w:val="none"/>
        </w:rPr>
      </w:pPr>
      <w:r>
        <w:rPr>
          <w:rFonts w:hint="eastAsia" w:ascii="宋体" w:hAnsi="宋体" w:eastAsia="宋体" w:cs="宋体"/>
          <w:sz w:val="24"/>
          <w:highlight w:val="none"/>
        </w:rPr>
        <w:t xml:space="preserve">                      日期: </w:t>
      </w:r>
      <w:r>
        <w:rPr>
          <w:rFonts w:hint="eastAsia" w:ascii="宋体" w:hAnsi="宋体" w:eastAsia="宋体" w:cs="宋体"/>
          <w:sz w:val="24"/>
          <w:highlight w:val="none"/>
          <w:u w:val="single"/>
        </w:rPr>
        <w:t>______</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line="560" w:lineRule="exact"/>
        <w:ind w:firstLine="495"/>
        <w:rPr>
          <w:rFonts w:hint="eastAsia" w:ascii="宋体" w:hAnsi="宋体" w:eastAsia="宋体" w:cs="宋体"/>
          <w:bCs/>
          <w:sz w:val="24"/>
          <w:highlight w:val="none"/>
        </w:rPr>
      </w:pPr>
    </w:p>
    <w:p>
      <w:pPr>
        <w:spacing w:line="560" w:lineRule="exact"/>
        <w:ind w:firstLine="495"/>
        <w:rPr>
          <w:rFonts w:hint="eastAsia" w:ascii="宋体" w:hAnsi="宋体" w:eastAsia="宋体" w:cs="宋体"/>
          <w:bCs/>
          <w:sz w:val="24"/>
          <w:highlight w:val="none"/>
        </w:rPr>
      </w:pPr>
    </w:p>
    <w:p>
      <w:pPr>
        <w:spacing w:line="560" w:lineRule="exact"/>
        <w:ind w:firstLine="495"/>
        <w:rPr>
          <w:rFonts w:hint="eastAsia" w:ascii="宋体" w:hAnsi="宋体" w:eastAsia="宋体" w:cs="宋体"/>
          <w:bCs/>
          <w:sz w:val="24"/>
          <w:highlight w:val="none"/>
        </w:rPr>
      </w:pPr>
    </w:p>
    <w:p>
      <w:pPr>
        <w:spacing w:line="560" w:lineRule="exact"/>
        <w:ind w:firstLine="495"/>
        <w:rPr>
          <w:rFonts w:hint="eastAsia" w:ascii="宋体" w:hAnsi="宋体" w:eastAsia="宋体" w:cs="宋体"/>
          <w:bCs/>
          <w:sz w:val="24"/>
          <w:highlight w:val="none"/>
        </w:rPr>
      </w:pPr>
    </w:p>
    <w:p>
      <w:pPr>
        <w:spacing w:line="560" w:lineRule="exact"/>
        <w:ind w:firstLine="495"/>
        <w:rPr>
          <w:rFonts w:hint="eastAsia" w:ascii="宋体" w:hAnsi="宋体" w:eastAsia="宋体" w:cs="宋体"/>
          <w:bCs/>
          <w:sz w:val="24"/>
          <w:highlight w:val="none"/>
        </w:rPr>
      </w:pPr>
    </w:p>
    <w:p>
      <w:pPr>
        <w:spacing w:line="560" w:lineRule="exact"/>
        <w:ind w:firstLine="495"/>
        <w:rPr>
          <w:rFonts w:hint="eastAsia" w:ascii="宋体" w:hAnsi="宋体" w:eastAsia="宋体" w:cs="宋体"/>
          <w:bCs/>
          <w:sz w:val="24"/>
          <w:highlight w:val="none"/>
        </w:rPr>
      </w:pPr>
    </w:p>
    <w:p>
      <w:pPr>
        <w:spacing w:line="560" w:lineRule="exact"/>
        <w:ind w:firstLine="495"/>
        <w:rPr>
          <w:rFonts w:hint="eastAsia" w:ascii="宋体" w:hAnsi="宋体" w:eastAsia="宋体" w:cs="宋体"/>
          <w:bCs/>
          <w:sz w:val="24"/>
          <w:highlight w:val="none"/>
        </w:rPr>
      </w:pPr>
    </w:p>
    <w:p>
      <w:pPr>
        <w:spacing w:line="560" w:lineRule="exact"/>
        <w:ind w:firstLine="495"/>
        <w:rPr>
          <w:rFonts w:hint="eastAsia" w:ascii="宋体" w:hAnsi="宋体" w:eastAsia="宋体" w:cs="宋体"/>
          <w:bCs/>
          <w:sz w:val="24"/>
          <w:highlight w:val="none"/>
        </w:rPr>
      </w:pPr>
    </w:p>
    <w:p>
      <w:pPr>
        <w:spacing w:line="560" w:lineRule="exact"/>
        <w:ind w:firstLine="495"/>
        <w:rPr>
          <w:rFonts w:hint="eastAsia" w:ascii="宋体" w:hAnsi="宋体" w:eastAsia="宋体" w:cs="宋体"/>
          <w:bCs/>
          <w:sz w:val="24"/>
          <w:highlight w:val="none"/>
        </w:rPr>
      </w:pPr>
    </w:p>
    <w:p>
      <w:pPr>
        <w:spacing w:line="560" w:lineRule="exact"/>
        <w:ind w:firstLine="495"/>
        <w:rPr>
          <w:rFonts w:hint="eastAsia" w:ascii="宋体" w:hAnsi="宋体" w:eastAsia="宋体" w:cs="宋体"/>
          <w:bCs/>
          <w:sz w:val="24"/>
          <w:highlight w:val="none"/>
        </w:rPr>
      </w:pPr>
    </w:p>
    <w:p>
      <w:pPr>
        <w:spacing w:line="560" w:lineRule="exact"/>
        <w:ind w:firstLine="495"/>
        <w:rPr>
          <w:rFonts w:hint="eastAsia" w:ascii="宋体" w:hAnsi="宋体" w:eastAsia="宋体" w:cs="宋体"/>
          <w:bCs/>
          <w:sz w:val="24"/>
          <w:highlight w:val="none"/>
        </w:rPr>
      </w:pPr>
    </w:p>
    <w:p>
      <w:pPr>
        <w:spacing w:line="560" w:lineRule="exact"/>
        <w:ind w:firstLine="495"/>
        <w:rPr>
          <w:rFonts w:hint="eastAsia" w:ascii="宋体" w:hAnsi="宋体" w:eastAsia="宋体" w:cs="宋体"/>
          <w:bCs/>
          <w:sz w:val="24"/>
          <w:highlight w:val="none"/>
        </w:rPr>
      </w:pPr>
    </w:p>
    <w:p>
      <w:pPr>
        <w:spacing w:line="560" w:lineRule="exact"/>
        <w:ind w:firstLine="495"/>
        <w:rPr>
          <w:rFonts w:hint="eastAsia" w:ascii="宋体" w:hAnsi="宋体" w:eastAsia="宋体" w:cs="宋体"/>
          <w:bCs/>
          <w:sz w:val="24"/>
          <w:highlight w:val="none"/>
        </w:rPr>
      </w:pPr>
    </w:p>
    <w:p>
      <w:pPr>
        <w:widowControl/>
        <w:jc w:val="left"/>
        <w:rPr>
          <w:rFonts w:hint="eastAsia" w:ascii="宋体" w:hAnsi="宋体" w:eastAsia="宋体" w:cs="宋体"/>
          <w:bCs/>
          <w:sz w:val="24"/>
          <w:highlight w:val="none"/>
        </w:rPr>
      </w:pPr>
      <w:r>
        <w:rPr>
          <w:rFonts w:hint="eastAsia" w:ascii="宋体" w:hAnsi="宋体" w:eastAsia="宋体" w:cs="宋体"/>
          <w:bCs/>
          <w:sz w:val="24"/>
          <w:highlight w:val="none"/>
        </w:rPr>
        <w:br w:type="page"/>
      </w:r>
    </w:p>
    <w:p>
      <w:pPr>
        <w:widowControl/>
        <w:jc w:val="left"/>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（七）项目人员配置表</w:t>
      </w:r>
      <w:bookmarkEnd w:id="59"/>
      <w:r>
        <w:rPr>
          <w:rFonts w:hint="eastAsia" w:ascii="宋体" w:hAnsi="宋体" w:eastAsia="宋体" w:cs="宋体"/>
          <w:sz w:val="24"/>
          <w:szCs w:val="24"/>
          <w:highlight w:val="none"/>
        </w:rPr>
        <w:t>（格式）</w:t>
      </w:r>
    </w:p>
    <w:p>
      <w:pPr>
        <w:spacing w:line="360" w:lineRule="auto"/>
        <w:ind w:firstLine="480" w:firstLineChars="200"/>
        <w:rPr>
          <w:rFonts w:hint="eastAsia" w:ascii="宋体" w:hAnsi="宋体" w:eastAsia="宋体" w:cs="宋体"/>
          <w:color w:val="000000" w:themeColor="text1"/>
          <w:sz w:val="24"/>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项目人员配置表</w:t>
      </w:r>
    </w:p>
    <w:p>
      <w:pPr>
        <w:ind w:firstLine="840" w:firstLineChars="35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供应商名称（盖章）：</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采购项目编号：</w:t>
      </w:r>
      <w:r>
        <w:rPr>
          <w:rFonts w:hint="eastAsia" w:ascii="宋体" w:hAnsi="宋体" w:eastAsia="宋体" w:cs="宋体"/>
          <w:bCs/>
          <w:sz w:val="24"/>
          <w:szCs w:val="24"/>
          <w:highlight w:val="none"/>
          <w:u w:val="single"/>
        </w:rPr>
        <w:t xml:space="preserve">              </w:t>
      </w:r>
    </w:p>
    <w:p>
      <w:pPr>
        <w:ind w:firstLine="840" w:firstLineChars="350"/>
        <w:rPr>
          <w:rFonts w:hint="eastAsia" w:ascii="宋体" w:hAnsi="宋体" w:eastAsia="宋体" w:cs="宋体"/>
          <w:bCs/>
          <w:sz w:val="24"/>
          <w:szCs w:val="24"/>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139"/>
        <w:gridCol w:w="1134"/>
        <w:gridCol w:w="2126"/>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112"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139"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姓名</w:t>
            </w:r>
          </w:p>
        </w:tc>
        <w:tc>
          <w:tcPr>
            <w:tcW w:w="1134"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年龄</w:t>
            </w:r>
          </w:p>
        </w:tc>
        <w:tc>
          <w:tcPr>
            <w:tcW w:w="2126"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本项目职责</w:t>
            </w:r>
          </w:p>
        </w:tc>
        <w:tc>
          <w:tcPr>
            <w:tcW w:w="1689"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持有证书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hint="eastAsia" w:ascii="宋体" w:hAnsi="宋体" w:eastAsia="宋体" w:cs="宋体"/>
                <w:bCs/>
                <w:sz w:val="24"/>
                <w:szCs w:val="24"/>
                <w:highlight w:val="none"/>
              </w:rPr>
            </w:pPr>
          </w:p>
        </w:tc>
        <w:tc>
          <w:tcPr>
            <w:tcW w:w="2139" w:type="dxa"/>
            <w:vAlign w:val="center"/>
          </w:tcPr>
          <w:p>
            <w:pPr>
              <w:jc w:val="center"/>
              <w:outlineLvl w:val="0"/>
              <w:rPr>
                <w:rFonts w:hint="eastAsia" w:ascii="宋体" w:hAnsi="宋体" w:eastAsia="宋体" w:cs="宋体"/>
                <w:bCs/>
                <w:sz w:val="24"/>
                <w:szCs w:val="24"/>
                <w:highlight w:val="none"/>
              </w:rPr>
            </w:pPr>
          </w:p>
        </w:tc>
        <w:tc>
          <w:tcPr>
            <w:tcW w:w="1134" w:type="dxa"/>
            <w:vAlign w:val="center"/>
          </w:tcPr>
          <w:p>
            <w:pPr>
              <w:jc w:val="center"/>
              <w:outlineLvl w:val="0"/>
              <w:rPr>
                <w:rFonts w:hint="eastAsia" w:ascii="宋体" w:hAnsi="宋体" w:eastAsia="宋体" w:cs="宋体"/>
                <w:bCs/>
                <w:sz w:val="24"/>
                <w:szCs w:val="24"/>
                <w:highlight w:val="none"/>
              </w:rPr>
            </w:pPr>
          </w:p>
        </w:tc>
        <w:tc>
          <w:tcPr>
            <w:tcW w:w="2126" w:type="dxa"/>
            <w:vAlign w:val="center"/>
          </w:tcPr>
          <w:p>
            <w:pPr>
              <w:jc w:val="center"/>
              <w:outlineLvl w:val="0"/>
              <w:rPr>
                <w:rFonts w:hint="eastAsia" w:ascii="宋体" w:hAnsi="宋体" w:eastAsia="宋体" w:cs="宋体"/>
                <w:bCs/>
                <w:sz w:val="24"/>
                <w:szCs w:val="24"/>
                <w:highlight w:val="none"/>
              </w:rPr>
            </w:pPr>
          </w:p>
        </w:tc>
        <w:tc>
          <w:tcPr>
            <w:tcW w:w="1689" w:type="dxa"/>
          </w:tcPr>
          <w:p>
            <w:pPr>
              <w:jc w:val="center"/>
              <w:outlineLvl w:val="0"/>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hint="eastAsia" w:ascii="宋体" w:hAnsi="宋体" w:eastAsia="宋体" w:cs="宋体"/>
                <w:bCs/>
                <w:sz w:val="24"/>
                <w:szCs w:val="24"/>
                <w:highlight w:val="none"/>
              </w:rPr>
            </w:pPr>
          </w:p>
        </w:tc>
        <w:tc>
          <w:tcPr>
            <w:tcW w:w="2139" w:type="dxa"/>
            <w:vAlign w:val="center"/>
          </w:tcPr>
          <w:p>
            <w:pPr>
              <w:jc w:val="center"/>
              <w:outlineLvl w:val="0"/>
              <w:rPr>
                <w:rFonts w:hint="eastAsia" w:ascii="宋体" w:hAnsi="宋体" w:eastAsia="宋体" w:cs="宋体"/>
                <w:bCs/>
                <w:sz w:val="24"/>
                <w:szCs w:val="24"/>
                <w:highlight w:val="none"/>
              </w:rPr>
            </w:pPr>
          </w:p>
        </w:tc>
        <w:tc>
          <w:tcPr>
            <w:tcW w:w="1134" w:type="dxa"/>
            <w:vAlign w:val="center"/>
          </w:tcPr>
          <w:p>
            <w:pPr>
              <w:jc w:val="center"/>
              <w:outlineLvl w:val="0"/>
              <w:rPr>
                <w:rFonts w:hint="eastAsia" w:ascii="宋体" w:hAnsi="宋体" w:eastAsia="宋体" w:cs="宋体"/>
                <w:bCs/>
                <w:sz w:val="24"/>
                <w:szCs w:val="24"/>
                <w:highlight w:val="none"/>
              </w:rPr>
            </w:pPr>
          </w:p>
        </w:tc>
        <w:tc>
          <w:tcPr>
            <w:tcW w:w="2126" w:type="dxa"/>
            <w:vAlign w:val="center"/>
          </w:tcPr>
          <w:p>
            <w:pPr>
              <w:jc w:val="center"/>
              <w:outlineLvl w:val="0"/>
              <w:rPr>
                <w:rFonts w:hint="eastAsia" w:ascii="宋体" w:hAnsi="宋体" w:eastAsia="宋体" w:cs="宋体"/>
                <w:bCs/>
                <w:sz w:val="24"/>
                <w:szCs w:val="24"/>
                <w:highlight w:val="none"/>
              </w:rPr>
            </w:pPr>
          </w:p>
        </w:tc>
        <w:tc>
          <w:tcPr>
            <w:tcW w:w="1689" w:type="dxa"/>
          </w:tcPr>
          <w:p>
            <w:pPr>
              <w:jc w:val="center"/>
              <w:outlineLvl w:val="0"/>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hint="eastAsia" w:ascii="宋体" w:hAnsi="宋体" w:eastAsia="宋体" w:cs="宋体"/>
                <w:bCs/>
                <w:sz w:val="24"/>
                <w:szCs w:val="24"/>
                <w:highlight w:val="none"/>
              </w:rPr>
            </w:pPr>
          </w:p>
        </w:tc>
        <w:tc>
          <w:tcPr>
            <w:tcW w:w="2139" w:type="dxa"/>
            <w:vAlign w:val="center"/>
          </w:tcPr>
          <w:p>
            <w:pPr>
              <w:jc w:val="center"/>
              <w:outlineLvl w:val="0"/>
              <w:rPr>
                <w:rFonts w:hint="eastAsia" w:ascii="宋体" w:hAnsi="宋体" w:eastAsia="宋体" w:cs="宋体"/>
                <w:bCs/>
                <w:sz w:val="24"/>
                <w:szCs w:val="24"/>
                <w:highlight w:val="none"/>
              </w:rPr>
            </w:pPr>
          </w:p>
        </w:tc>
        <w:tc>
          <w:tcPr>
            <w:tcW w:w="1134" w:type="dxa"/>
            <w:vAlign w:val="center"/>
          </w:tcPr>
          <w:p>
            <w:pPr>
              <w:jc w:val="center"/>
              <w:outlineLvl w:val="0"/>
              <w:rPr>
                <w:rFonts w:hint="eastAsia" w:ascii="宋体" w:hAnsi="宋体" w:eastAsia="宋体" w:cs="宋体"/>
                <w:bCs/>
                <w:sz w:val="24"/>
                <w:szCs w:val="24"/>
                <w:highlight w:val="none"/>
              </w:rPr>
            </w:pPr>
          </w:p>
        </w:tc>
        <w:tc>
          <w:tcPr>
            <w:tcW w:w="2126" w:type="dxa"/>
            <w:vAlign w:val="center"/>
          </w:tcPr>
          <w:p>
            <w:pPr>
              <w:jc w:val="center"/>
              <w:outlineLvl w:val="0"/>
              <w:rPr>
                <w:rFonts w:hint="eastAsia" w:ascii="宋体" w:hAnsi="宋体" w:eastAsia="宋体" w:cs="宋体"/>
                <w:bCs/>
                <w:sz w:val="24"/>
                <w:szCs w:val="24"/>
                <w:highlight w:val="none"/>
              </w:rPr>
            </w:pPr>
          </w:p>
        </w:tc>
        <w:tc>
          <w:tcPr>
            <w:tcW w:w="1689" w:type="dxa"/>
          </w:tcPr>
          <w:p>
            <w:pPr>
              <w:jc w:val="center"/>
              <w:outlineLvl w:val="0"/>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hint="eastAsia" w:ascii="宋体" w:hAnsi="宋体" w:eastAsia="宋体" w:cs="宋体"/>
                <w:bCs/>
                <w:sz w:val="24"/>
                <w:szCs w:val="24"/>
                <w:highlight w:val="none"/>
              </w:rPr>
            </w:pPr>
          </w:p>
        </w:tc>
        <w:tc>
          <w:tcPr>
            <w:tcW w:w="2139" w:type="dxa"/>
            <w:vAlign w:val="center"/>
          </w:tcPr>
          <w:p>
            <w:pPr>
              <w:jc w:val="center"/>
              <w:outlineLvl w:val="0"/>
              <w:rPr>
                <w:rFonts w:hint="eastAsia" w:ascii="宋体" w:hAnsi="宋体" w:eastAsia="宋体" w:cs="宋体"/>
                <w:bCs/>
                <w:sz w:val="24"/>
                <w:szCs w:val="24"/>
                <w:highlight w:val="none"/>
              </w:rPr>
            </w:pPr>
          </w:p>
        </w:tc>
        <w:tc>
          <w:tcPr>
            <w:tcW w:w="1134" w:type="dxa"/>
            <w:vAlign w:val="center"/>
          </w:tcPr>
          <w:p>
            <w:pPr>
              <w:jc w:val="center"/>
              <w:outlineLvl w:val="0"/>
              <w:rPr>
                <w:rFonts w:hint="eastAsia" w:ascii="宋体" w:hAnsi="宋体" w:eastAsia="宋体" w:cs="宋体"/>
                <w:bCs/>
                <w:sz w:val="24"/>
                <w:szCs w:val="24"/>
                <w:highlight w:val="none"/>
              </w:rPr>
            </w:pPr>
          </w:p>
        </w:tc>
        <w:tc>
          <w:tcPr>
            <w:tcW w:w="2126" w:type="dxa"/>
            <w:vAlign w:val="center"/>
          </w:tcPr>
          <w:p>
            <w:pPr>
              <w:jc w:val="center"/>
              <w:outlineLvl w:val="0"/>
              <w:rPr>
                <w:rFonts w:hint="eastAsia" w:ascii="宋体" w:hAnsi="宋体" w:eastAsia="宋体" w:cs="宋体"/>
                <w:bCs/>
                <w:sz w:val="24"/>
                <w:szCs w:val="24"/>
                <w:highlight w:val="none"/>
              </w:rPr>
            </w:pPr>
          </w:p>
        </w:tc>
        <w:tc>
          <w:tcPr>
            <w:tcW w:w="1689" w:type="dxa"/>
          </w:tcPr>
          <w:p>
            <w:pPr>
              <w:jc w:val="center"/>
              <w:outlineLvl w:val="0"/>
              <w:rPr>
                <w:rFonts w:hint="eastAsia" w:ascii="宋体" w:hAnsi="宋体" w:eastAsia="宋体" w:cs="宋体"/>
                <w:bCs/>
                <w:sz w:val="24"/>
                <w:szCs w:val="24"/>
                <w:highlight w:val="none"/>
              </w:rPr>
            </w:pPr>
          </w:p>
        </w:tc>
      </w:tr>
    </w:tbl>
    <w:p>
      <w:pPr>
        <w:rPr>
          <w:rFonts w:hint="eastAsia" w:ascii="宋体" w:hAnsi="宋体" w:eastAsia="宋体" w:cs="宋体"/>
          <w:b/>
          <w:bCs/>
          <w:color w:val="000000"/>
          <w:sz w:val="24"/>
          <w:szCs w:val="24"/>
          <w:highlight w:val="none"/>
        </w:rPr>
      </w:pPr>
    </w:p>
    <w:p>
      <w:pPr>
        <w:spacing w:before="5"/>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法定代表人或被授权代表（签字或盖章）：</w:t>
      </w:r>
      <w:r>
        <w:rPr>
          <w:rFonts w:hint="eastAsia" w:ascii="宋体" w:hAnsi="宋体" w:eastAsia="宋体" w:cs="宋体"/>
          <w:b/>
          <w:bCs/>
          <w:color w:val="000000" w:themeColor="text1"/>
          <w:sz w:val="24"/>
          <w:szCs w:val="24"/>
          <w:highlight w:val="none"/>
          <w:u w:val="single"/>
        </w:rPr>
        <w:t xml:space="preserve">                               </w:t>
      </w:r>
      <w:r>
        <w:rPr>
          <w:rFonts w:hint="eastAsia" w:ascii="宋体" w:hAnsi="宋体" w:eastAsia="宋体" w:cs="宋体"/>
          <w:b/>
          <w:bCs/>
          <w:color w:val="000000" w:themeColor="text1"/>
          <w:sz w:val="24"/>
          <w:szCs w:val="24"/>
          <w:highlight w:val="none"/>
        </w:rPr>
        <w:t xml:space="preserve"> </w:t>
      </w:r>
    </w:p>
    <w:p>
      <w:pPr>
        <w:rPr>
          <w:rFonts w:hint="eastAsia" w:ascii="宋体" w:hAnsi="宋体" w:eastAsia="宋体" w:cs="宋体"/>
          <w:bCs/>
          <w:color w:val="000000"/>
          <w:szCs w:val="21"/>
          <w:highlight w:val="none"/>
        </w:rPr>
      </w:pP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注：</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 表格不够可自行延长。</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 上表内容须提供近三个月中任意一个月份（不含报价当月））经社保部门确认的社保缴纳名单复印件（标注各人员所处位置）和相关证书复印件作为填列证明材料，证明材料请附在本表之后。</w:t>
      </w:r>
    </w:p>
    <w:p>
      <w:pPr>
        <w:widowControl/>
        <w:jc w:val="left"/>
        <w:rPr>
          <w:rFonts w:hint="eastAsia" w:ascii="宋体" w:hAnsi="宋体" w:eastAsia="宋体" w:cs="宋体"/>
          <w:color w:val="000000" w:themeColor="text1"/>
          <w:sz w:val="24"/>
          <w:szCs w:val="24"/>
          <w:highlight w:val="none"/>
        </w:rPr>
      </w:pPr>
    </w:p>
    <w:p>
      <w:pPr>
        <w:spacing w:line="360" w:lineRule="auto"/>
        <w:rPr>
          <w:rFonts w:hint="eastAsia" w:ascii="宋体" w:hAnsi="宋体" w:eastAsia="宋体" w:cs="宋体"/>
          <w:highlight w:val="none"/>
        </w:rPr>
      </w:pPr>
      <w:r>
        <w:rPr>
          <w:rFonts w:hint="eastAsia" w:ascii="宋体" w:hAnsi="宋体" w:eastAsia="宋体" w:cs="宋体"/>
          <w:highlight w:val="none"/>
        </w:rPr>
        <w:br w:type="page"/>
      </w:r>
    </w:p>
    <w:p>
      <w:pPr>
        <w:keepNext/>
        <w:spacing w:line="360" w:lineRule="auto"/>
        <w:jc w:val="center"/>
        <w:outlineLvl w:val="0"/>
        <w:rPr>
          <w:rFonts w:hint="eastAsia" w:ascii="宋体" w:hAnsi="宋体" w:eastAsia="宋体" w:cs="宋体"/>
          <w:bCs/>
          <w:kern w:val="0"/>
          <w:sz w:val="28"/>
          <w:szCs w:val="28"/>
          <w:highlight w:val="none"/>
        </w:rPr>
      </w:pPr>
      <w:bookmarkStart w:id="66" w:name="_Toc92976624"/>
      <w:bookmarkStart w:id="67" w:name="_Toc63173555"/>
      <w:r>
        <w:rPr>
          <w:rFonts w:hint="eastAsia" w:ascii="宋体" w:hAnsi="宋体" w:eastAsia="宋体" w:cs="宋体"/>
          <w:bCs/>
          <w:kern w:val="0"/>
          <w:sz w:val="28"/>
          <w:szCs w:val="28"/>
          <w:highlight w:val="none"/>
        </w:rPr>
        <w:t>友 情 提 醒</w:t>
      </w:r>
      <w:bookmarkEnd w:id="66"/>
      <w:bookmarkEnd w:id="67"/>
    </w:p>
    <w:p>
      <w:pPr>
        <w:spacing w:line="360" w:lineRule="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各供应商：</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您好！</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为了提高贵单位的响应文件的有效性，减少不必要的无效报价，特友情提醒注意以下几点：</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 请谨记采购文件上表述的各项事宜时间节点，特别是开标时间和地点，迟到的将一律不能进入开标室。</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 响应文件应按要求密封，并在封袋上加盖供应商公章。</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 响应文件须按采购文件《二、供应商须知》及《五、响应文件格式》中相关要求装订、密封、标记、盖章和签署。响应文件封袋须加盖供应商公章。</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4. 响应文件中的证明文件及资料需提供复印件并加盖公章，有要求提供原件或公证件的必须将原件或公证件携带至开标现场备查或核查。</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 需要提供样品的，请严格按采购文件要求提供，同时注意密封、隐蔽标签的相关要求。</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6. 因采购文件文字表述有限，鼓励您现场踏勘，可以在投标前充分了解现场环境、项目进度和质量要求等信息，为贵单位有针对性的制作响应文件积累充分的原始资料。</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7. 设定最高限价的，超过限价一律废标。</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8. 请精心仔细审阅采购文件，特别是加粗部分的文字。如有疑问，请按采购文件要求进行询疑。</w:t>
      </w:r>
    </w:p>
    <w:p>
      <w:pPr>
        <w:spacing w:line="360" w:lineRule="auto"/>
        <w:ind w:firstLine="480" w:firstLineChars="200"/>
        <w:rPr>
          <w:rFonts w:hint="eastAsia" w:ascii="宋体" w:hAnsi="宋体" w:eastAsia="宋体" w:cs="宋体"/>
          <w:color w:val="000000" w:themeColor="text1"/>
          <w:sz w:val="24"/>
          <w:szCs w:val="24"/>
          <w:highlight w:val="none"/>
        </w:rPr>
      </w:pP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我单位十分欢迎贵单位对招标采购组织工作提出宝贵意见和建议。电话：18915091067  </w:t>
      </w: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最后祝贵单位投标成功！</w:t>
      </w:r>
    </w:p>
    <w:p>
      <w:pPr>
        <w:spacing w:line="360" w:lineRule="auto"/>
        <w:ind w:firstLine="480" w:firstLineChars="200"/>
        <w:rPr>
          <w:rFonts w:hint="eastAsia" w:ascii="宋体" w:hAnsi="宋体" w:eastAsia="宋体" w:cs="宋体"/>
          <w:color w:val="000000" w:themeColor="text1"/>
          <w:sz w:val="24"/>
          <w:szCs w:val="24"/>
          <w:highlight w:val="none"/>
        </w:rPr>
      </w:pPr>
    </w:p>
    <w:p>
      <w:pPr>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本采购文件的最终解释权归江苏仁禾中衡工程咨询房地产估价有限公司所有。</w:t>
      </w:r>
    </w:p>
    <w:p>
      <w:pPr>
        <w:spacing w:line="360" w:lineRule="auto"/>
        <w:jc w:val="center"/>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（全文完）</w:t>
      </w:r>
    </w:p>
    <w:p>
      <w:pPr>
        <w:widowControl/>
        <w:jc w:val="left"/>
        <w:rPr>
          <w:rFonts w:hint="eastAsia" w:ascii="宋体" w:hAnsi="宋体" w:eastAsia="宋体" w:cs="宋体"/>
          <w:color w:val="000000" w:themeColor="text1"/>
          <w:sz w:val="28"/>
          <w:szCs w:val="28"/>
          <w:highlight w:val="none"/>
        </w:rPr>
      </w:pPr>
    </w:p>
    <w:sectPr>
      <w:headerReference r:id="rId10" w:type="first"/>
      <w:footerReference r:id="rId12" w:type="first"/>
      <w:headerReference r:id="rId8" w:type="default"/>
      <w:footerReference r:id="rId11" w:type="default"/>
      <w:headerReference r:id="rId9" w:type="even"/>
      <w:pgSz w:w="11906" w:h="16838"/>
      <w:pgMar w:top="1276" w:right="851" w:bottom="1134" w:left="1134" w:header="568" w:footer="59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316035"/>
    </w:sdtPr>
    <w:sdtContent>
      <w:p>
        <w:pPr>
          <w:pStyle w:val="20"/>
          <w:tabs>
            <w:tab w:val="left" w:pos="3900"/>
            <w:tab w:val="center" w:pos="4960"/>
          </w:tabs>
          <w:rPr>
            <w:rFonts w:asciiTheme="minorHAnsi" w:hAnsiTheme="minorHAnsi" w:eastAsiaTheme="minorEastAsia" w:cstheme="minorBidi"/>
            <w:kern w:val="2"/>
            <w:sz w:val="21"/>
            <w:szCs w:val="22"/>
          </w:rPr>
        </w:pPr>
        <w: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1</w:t>
    </w:r>
    <w:r>
      <w:rPr>
        <w:rStyle w:val="35"/>
      </w:rP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7100909"/>
    </w:sdtPr>
    <w:sdtEndPr>
      <w:rPr>
        <w:rFonts w:asciiTheme="minorEastAsia" w:hAnsiTheme="minorEastAsia" w:eastAsiaTheme="minorEastAsia"/>
        <w:sz w:val="21"/>
        <w:szCs w:val="21"/>
        <w:lang w:val="zh-CN"/>
      </w:rPr>
    </w:sdtEndPr>
    <w:sdtContent>
      <w:sdt>
        <w:sdtPr>
          <w:id w:val="-1669238322"/>
        </w:sdtPr>
        <w:sdtEndPr>
          <w:rPr>
            <w:rFonts w:asciiTheme="minorEastAsia" w:hAnsiTheme="minorEastAsia" w:eastAsiaTheme="minorEastAsia"/>
            <w:sz w:val="21"/>
            <w:szCs w:val="21"/>
            <w:lang w:val="zh-CN"/>
          </w:rPr>
        </w:sdtEndPr>
        <w:sdtContent>
          <w:p>
            <w:pPr>
              <w:pStyle w:val="20"/>
              <w:jc w:val="center"/>
            </w:pPr>
            <w:r>
              <w:rPr>
                <w:rFonts w:hint="eastAsia" w:asciiTheme="minorEastAsia" w:hAnsiTheme="minorEastAsia" w:eastAsiaTheme="minorEastAsia"/>
                <w:sz w:val="21"/>
                <w:szCs w:val="21"/>
                <w:lang w:val="zh-CN"/>
              </w:rPr>
              <w:t>第</w:t>
            </w:r>
            <w:r>
              <w:rPr>
                <w:rFonts w:asciiTheme="minorEastAsia" w:hAnsiTheme="minorEastAsia" w:eastAsiaTheme="minorEastAsia"/>
                <w:sz w:val="21"/>
                <w:szCs w:val="21"/>
                <w:lang w:val="zh-CN"/>
              </w:rPr>
              <w:t xml:space="preserve"> </w:t>
            </w: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15</w:t>
            </w:r>
            <w:r>
              <w:rPr>
                <w:rFonts w:asciiTheme="minorEastAsia" w:hAnsiTheme="minorEastAsia" w:eastAsiaTheme="minorEastAsia"/>
                <w:sz w:val="21"/>
                <w:szCs w:val="21"/>
                <w:lang w:val="zh-CN"/>
              </w:rPr>
              <w:fldChar w:fldCharType="end"/>
            </w:r>
            <w:r>
              <w:rPr>
                <w:rFonts w:hint="eastAsia" w:asciiTheme="minorEastAsia" w:hAnsiTheme="minorEastAsia" w:eastAsiaTheme="minorEastAsia"/>
                <w:sz w:val="21"/>
                <w:szCs w:val="21"/>
                <w:lang w:val="zh-CN"/>
              </w:rPr>
              <w:t xml:space="preserve"> 页，共3</w:t>
            </w:r>
            <w:r>
              <w:rPr>
                <w:rFonts w:hint="eastAsia" w:asciiTheme="minorEastAsia" w:hAnsiTheme="minorEastAsia" w:eastAsiaTheme="minorEastAsia"/>
                <w:sz w:val="21"/>
                <w:szCs w:val="21"/>
                <w:lang w:val="en-US" w:eastAsia="zh-CN"/>
              </w:rPr>
              <w:t>8</w:t>
            </w:r>
            <w:r>
              <w:rPr>
                <w:rFonts w:hint="eastAsia" w:asciiTheme="minorEastAsia" w:hAnsiTheme="minorEastAsia" w:eastAsiaTheme="minorEastAsia"/>
                <w:sz w:val="21"/>
                <w:szCs w:val="21"/>
                <w:lang w:val="zh-CN"/>
              </w:rPr>
              <w:t>页</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5"/>
      </w:rPr>
      <w:id w:val="-368604791"/>
    </w:sdtPr>
    <w:sdtEndPr>
      <w:rPr>
        <w:rStyle w:val="35"/>
      </w:rPr>
    </w:sdtEndPr>
    <w:sdtContent>
      <w:p>
        <w:pPr>
          <w:pStyle w:val="20"/>
          <w:framePr w:wrap="around" w:vAnchor="text" w:hAnchor="margin" w:xAlign="center" w:y="1"/>
          <w:rPr>
            <w:rStyle w:val="35"/>
          </w:rPr>
        </w:pPr>
        <w:r>
          <w:rPr>
            <w:rStyle w:val="35"/>
          </w:rPr>
          <w:fldChar w:fldCharType="begin"/>
        </w:r>
        <w:r>
          <w:rPr>
            <w:rStyle w:val="35"/>
          </w:rPr>
          <w:instrText xml:space="preserve"> PAGE </w:instrText>
        </w:r>
        <w:r>
          <w:rPr>
            <w:rStyle w:val="35"/>
          </w:rPr>
          <w:fldChar w:fldCharType="separate"/>
        </w:r>
        <w:r>
          <w:rPr>
            <w:rStyle w:val="35"/>
          </w:rPr>
          <w:t>1</w:t>
        </w:r>
        <w:r>
          <w:rPr>
            <w:rStyle w:val="35"/>
          </w:rP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60950" cy="5080000"/>
          <wp:effectExtent l="0" t="0" r="6350" b="6350"/>
          <wp:wrapNone/>
          <wp:docPr id="1" name="图片 1025"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descr="WechatIMG157"/>
                  <pic:cNvPicPr>
                    <a:picLocks noChangeAspect="1"/>
                  </pic:cNvPicPr>
                </pic:nvPicPr>
                <pic:blipFill>
                  <a:blip r:embed="rId1"/>
                  <a:stretch>
                    <a:fillRect/>
                  </a:stretch>
                </pic:blipFill>
                <pic:spPr>
                  <a:xfrm>
                    <a:off x="0" y="0"/>
                    <a:ext cx="5060950" cy="50800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840"/>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60950" cy="5080000"/>
          <wp:effectExtent l="0" t="0" r="0" b="0"/>
          <wp:wrapNone/>
          <wp:docPr id="10" name="图片 10"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60950" cy="5080000"/>
          <wp:effectExtent l="0" t="0" r="0" b="0"/>
          <wp:wrapNone/>
          <wp:docPr id="12" name="图片 12"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A3C4A3"/>
    <w:multiLevelType w:val="singleLevel"/>
    <w:tmpl w:val="9FA3C4A3"/>
    <w:lvl w:ilvl="0" w:tentative="0">
      <w:start w:val="1"/>
      <w:numFmt w:val="decimal"/>
      <w:suff w:val="nothing"/>
      <w:lvlText w:val="（%1）"/>
      <w:lvlJc w:val="left"/>
    </w:lvl>
  </w:abstractNum>
  <w:abstractNum w:abstractNumId="1">
    <w:nsid w:val="A7A48339"/>
    <w:multiLevelType w:val="singleLevel"/>
    <w:tmpl w:val="A7A48339"/>
    <w:lvl w:ilvl="0" w:tentative="0">
      <w:start w:val="1"/>
      <w:numFmt w:val="decimal"/>
      <w:suff w:val="nothing"/>
      <w:lvlText w:val="（%1）"/>
      <w:lvlJc w:val="left"/>
    </w:lvl>
  </w:abstractNum>
  <w:abstractNum w:abstractNumId="2">
    <w:nsid w:val="D139BF46"/>
    <w:multiLevelType w:val="singleLevel"/>
    <w:tmpl w:val="D139BF46"/>
    <w:lvl w:ilvl="0" w:tentative="0">
      <w:start w:val="1"/>
      <w:numFmt w:val="decimal"/>
      <w:suff w:val="nothing"/>
      <w:lvlText w:val="（%1）"/>
      <w:lvlJc w:val="left"/>
    </w:lvl>
  </w:abstractNum>
  <w:abstractNum w:abstractNumId="3">
    <w:nsid w:val="114ECD0E"/>
    <w:multiLevelType w:val="singleLevel"/>
    <w:tmpl w:val="114ECD0E"/>
    <w:lvl w:ilvl="0" w:tentative="0">
      <w:start w:val="1"/>
      <w:numFmt w:val="decimal"/>
      <w:suff w:val="nothing"/>
      <w:lvlText w:val="（%1）"/>
      <w:lvlJc w:val="left"/>
    </w:lvl>
  </w:abstractNum>
  <w:abstractNum w:abstractNumId="4">
    <w:nsid w:val="1939E562"/>
    <w:multiLevelType w:val="singleLevel"/>
    <w:tmpl w:val="1939E562"/>
    <w:lvl w:ilvl="0" w:tentative="0">
      <w:start w:val="1"/>
      <w:numFmt w:val="decimal"/>
      <w:suff w:val="nothing"/>
      <w:lvlText w:val="（%1）"/>
      <w:lvlJc w:val="left"/>
    </w:lvl>
  </w:abstractNum>
  <w:abstractNum w:abstractNumId="5">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6">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71D54D18"/>
    <w:multiLevelType w:val="multilevel"/>
    <w:tmpl w:val="71D54D18"/>
    <w:lvl w:ilvl="0" w:tentative="0">
      <w:start w:val="1"/>
      <w:numFmt w:val="upperLetter"/>
      <w:pStyle w:val="6"/>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73031BD8"/>
    <w:multiLevelType w:val="multilevel"/>
    <w:tmpl w:val="73031BD8"/>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7E9A32E0"/>
    <w:multiLevelType w:val="multilevel"/>
    <w:tmpl w:val="7E9A32E0"/>
    <w:lvl w:ilvl="0" w:tentative="0">
      <w:start w:val="5"/>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9"/>
  </w:num>
  <w:num w:numId="3">
    <w:abstractNumId w:val="8"/>
  </w:num>
  <w:num w:numId="4">
    <w:abstractNumId w:val="5"/>
  </w:num>
  <w:num w:numId="5">
    <w:abstractNumId w:val="1"/>
  </w:num>
  <w:num w:numId="6">
    <w:abstractNumId w:val="3"/>
  </w:num>
  <w:num w:numId="7">
    <w:abstractNumId w:val="4"/>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OTU1ZmVlZDBiMGI4NDY1N2FmNzcyMDQ3MDdkNWEifQ=="/>
  </w:docVars>
  <w:rsids>
    <w:rsidRoot w:val="00202940"/>
    <w:rsid w:val="00003B80"/>
    <w:rsid w:val="000048AE"/>
    <w:rsid w:val="00007D9A"/>
    <w:rsid w:val="00011B5A"/>
    <w:rsid w:val="00021B35"/>
    <w:rsid w:val="00023F37"/>
    <w:rsid w:val="00025959"/>
    <w:rsid w:val="00025CDA"/>
    <w:rsid w:val="00027136"/>
    <w:rsid w:val="000304B3"/>
    <w:rsid w:val="0003505C"/>
    <w:rsid w:val="00036049"/>
    <w:rsid w:val="0003756D"/>
    <w:rsid w:val="00040D3C"/>
    <w:rsid w:val="00044E11"/>
    <w:rsid w:val="00045DB6"/>
    <w:rsid w:val="000467D6"/>
    <w:rsid w:val="00046D6A"/>
    <w:rsid w:val="00047D25"/>
    <w:rsid w:val="00050C6E"/>
    <w:rsid w:val="000542BD"/>
    <w:rsid w:val="00055659"/>
    <w:rsid w:val="00056FC0"/>
    <w:rsid w:val="00057274"/>
    <w:rsid w:val="00061D0D"/>
    <w:rsid w:val="0006261F"/>
    <w:rsid w:val="00064546"/>
    <w:rsid w:val="00064F9E"/>
    <w:rsid w:val="00070B23"/>
    <w:rsid w:val="00071CFE"/>
    <w:rsid w:val="00072395"/>
    <w:rsid w:val="0007466C"/>
    <w:rsid w:val="00081AD6"/>
    <w:rsid w:val="00085025"/>
    <w:rsid w:val="000853A3"/>
    <w:rsid w:val="00091725"/>
    <w:rsid w:val="00091930"/>
    <w:rsid w:val="000935DA"/>
    <w:rsid w:val="000951E0"/>
    <w:rsid w:val="00095D10"/>
    <w:rsid w:val="00096B78"/>
    <w:rsid w:val="00096F5C"/>
    <w:rsid w:val="000A01C4"/>
    <w:rsid w:val="000A2B2B"/>
    <w:rsid w:val="000A3786"/>
    <w:rsid w:val="000A611A"/>
    <w:rsid w:val="000A6A2A"/>
    <w:rsid w:val="000A7FF1"/>
    <w:rsid w:val="000B02BF"/>
    <w:rsid w:val="000B5A22"/>
    <w:rsid w:val="000C394C"/>
    <w:rsid w:val="000D0966"/>
    <w:rsid w:val="000D3F14"/>
    <w:rsid w:val="000D5056"/>
    <w:rsid w:val="000D7793"/>
    <w:rsid w:val="000E0666"/>
    <w:rsid w:val="000E1C1C"/>
    <w:rsid w:val="000E5708"/>
    <w:rsid w:val="000F08EC"/>
    <w:rsid w:val="000F13DD"/>
    <w:rsid w:val="000F18E1"/>
    <w:rsid w:val="000F3902"/>
    <w:rsid w:val="000F3F52"/>
    <w:rsid w:val="000F4EF1"/>
    <w:rsid w:val="00101B15"/>
    <w:rsid w:val="00102755"/>
    <w:rsid w:val="0010372C"/>
    <w:rsid w:val="001059EA"/>
    <w:rsid w:val="001061CD"/>
    <w:rsid w:val="0010690C"/>
    <w:rsid w:val="00106E95"/>
    <w:rsid w:val="00107B7C"/>
    <w:rsid w:val="00110852"/>
    <w:rsid w:val="001111BA"/>
    <w:rsid w:val="00121D6F"/>
    <w:rsid w:val="00123E77"/>
    <w:rsid w:val="00125078"/>
    <w:rsid w:val="00126DCE"/>
    <w:rsid w:val="0013089A"/>
    <w:rsid w:val="00130E7A"/>
    <w:rsid w:val="001313B9"/>
    <w:rsid w:val="0013250F"/>
    <w:rsid w:val="00133344"/>
    <w:rsid w:val="00133FEA"/>
    <w:rsid w:val="00135918"/>
    <w:rsid w:val="00136D32"/>
    <w:rsid w:val="00136D88"/>
    <w:rsid w:val="001370A3"/>
    <w:rsid w:val="0013765A"/>
    <w:rsid w:val="00141B65"/>
    <w:rsid w:val="00147551"/>
    <w:rsid w:val="00147D46"/>
    <w:rsid w:val="00151AAE"/>
    <w:rsid w:val="00153554"/>
    <w:rsid w:val="00153F19"/>
    <w:rsid w:val="00154EA1"/>
    <w:rsid w:val="00161412"/>
    <w:rsid w:val="0016169A"/>
    <w:rsid w:val="001645F2"/>
    <w:rsid w:val="00164C83"/>
    <w:rsid w:val="00166A1C"/>
    <w:rsid w:val="00166B9F"/>
    <w:rsid w:val="00170876"/>
    <w:rsid w:val="0017431C"/>
    <w:rsid w:val="001774EB"/>
    <w:rsid w:val="00180119"/>
    <w:rsid w:val="0018151D"/>
    <w:rsid w:val="0018434D"/>
    <w:rsid w:val="00184781"/>
    <w:rsid w:val="00197209"/>
    <w:rsid w:val="001A0B7A"/>
    <w:rsid w:val="001A1063"/>
    <w:rsid w:val="001A32C0"/>
    <w:rsid w:val="001A3FBC"/>
    <w:rsid w:val="001A6D24"/>
    <w:rsid w:val="001A706E"/>
    <w:rsid w:val="001A7A41"/>
    <w:rsid w:val="001B10DC"/>
    <w:rsid w:val="001B3832"/>
    <w:rsid w:val="001B4A4A"/>
    <w:rsid w:val="001B4F76"/>
    <w:rsid w:val="001B76D5"/>
    <w:rsid w:val="001C0741"/>
    <w:rsid w:val="001C0B47"/>
    <w:rsid w:val="001C0DBC"/>
    <w:rsid w:val="001C213A"/>
    <w:rsid w:val="001D1504"/>
    <w:rsid w:val="001D26CC"/>
    <w:rsid w:val="001D3F66"/>
    <w:rsid w:val="001E01CF"/>
    <w:rsid w:val="001E150A"/>
    <w:rsid w:val="001E4668"/>
    <w:rsid w:val="001E58C3"/>
    <w:rsid w:val="001E6093"/>
    <w:rsid w:val="001F0A78"/>
    <w:rsid w:val="001F3FA0"/>
    <w:rsid w:val="001F4C40"/>
    <w:rsid w:val="001F57BF"/>
    <w:rsid w:val="00202940"/>
    <w:rsid w:val="00202D50"/>
    <w:rsid w:val="00202E69"/>
    <w:rsid w:val="0020399D"/>
    <w:rsid w:val="002039D9"/>
    <w:rsid w:val="00203A18"/>
    <w:rsid w:val="00204136"/>
    <w:rsid w:val="00204689"/>
    <w:rsid w:val="00205736"/>
    <w:rsid w:val="00207EEF"/>
    <w:rsid w:val="00220BEF"/>
    <w:rsid w:val="00220ED1"/>
    <w:rsid w:val="00223FE7"/>
    <w:rsid w:val="0022401B"/>
    <w:rsid w:val="00226E8B"/>
    <w:rsid w:val="00230D81"/>
    <w:rsid w:val="00240FD8"/>
    <w:rsid w:val="00242E47"/>
    <w:rsid w:val="0024665D"/>
    <w:rsid w:val="00247C92"/>
    <w:rsid w:val="002502E5"/>
    <w:rsid w:val="00250429"/>
    <w:rsid w:val="002520C9"/>
    <w:rsid w:val="00255030"/>
    <w:rsid w:val="002573B8"/>
    <w:rsid w:val="00261982"/>
    <w:rsid w:val="0026222C"/>
    <w:rsid w:val="00264142"/>
    <w:rsid w:val="002655D6"/>
    <w:rsid w:val="00274DB6"/>
    <w:rsid w:val="00277DD9"/>
    <w:rsid w:val="00280BDD"/>
    <w:rsid w:val="00282792"/>
    <w:rsid w:val="00283719"/>
    <w:rsid w:val="00284350"/>
    <w:rsid w:val="00287509"/>
    <w:rsid w:val="0028759F"/>
    <w:rsid w:val="002910AF"/>
    <w:rsid w:val="00294423"/>
    <w:rsid w:val="00294538"/>
    <w:rsid w:val="002946D4"/>
    <w:rsid w:val="002A6BFE"/>
    <w:rsid w:val="002A7107"/>
    <w:rsid w:val="002A7AF7"/>
    <w:rsid w:val="002B10B3"/>
    <w:rsid w:val="002B150D"/>
    <w:rsid w:val="002B2C3C"/>
    <w:rsid w:val="002B4BBF"/>
    <w:rsid w:val="002B685A"/>
    <w:rsid w:val="002C6557"/>
    <w:rsid w:val="002D03B7"/>
    <w:rsid w:val="002D20DB"/>
    <w:rsid w:val="002D22C2"/>
    <w:rsid w:val="002D3797"/>
    <w:rsid w:val="002D3E4D"/>
    <w:rsid w:val="002D6B2A"/>
    <w:rsid w:val="002D7397"/>
    <w:rsid w:val="002E1DAC"/>
    <w:rsid w:val="002E1F11"/>
    <w:rsid w:val="002E23ED"/>
    <w:rsid w:val="002E2B64"/>
    <w:rsid w:val="002E40BC"/>
    <w:rsid w:val="002E6F43"/>
    <w:rsid w:val="002F0F72"/>
    <w:rsid w:val="002F2892"/>
    <w:rsid w:val="002F34EC"/>
    <w:rsid w:val="002F72C2"/>
    <w:rsid w:val="00301DEA"/>
    <w:rsid w:val="00304725"/>
    <w:rsid w:val="00305C33"/>
    <w:rsid w:val="00305E08"/>
    <w:rsid w:val="003119B4"/>
    <w:rsid w:val="003128B5"/>
    <w:rsid w:val="003140CE"/>
    <w:rsid w:val="00316A5B"/>
    <w:rsid w:val="00320C76"/>
    <w:rsid w:val="0032309C"/>
    <w:rsid w:val="003245E2"/>
    <w:rsid w:val="003249D7"/>
    <w:rsid w:val="003268BA"/>
    <w:rsid w:val="00327E25"/>
    <w:rsid w:val="003319FF"/>
    <w:rsid w:val="0033294C"/>
    <w:rsid w:val="0033728E"/>
    <w:rsid w:val="003373D3"/>
    <w:rsid w:val="00340E56"/>
    <w:rsid w:val="00342126"/>
    <w:rsid w:val="003453B0"/>
    <w:rsid w:val="00345ED2"/>
    <w:rsid w:val="00346850"/>
    <w:rsid w:val="0035261B"/>
    <w:rsid w:val="0035426D"/>
    <w:rsid w:val="00354735"/>
    <w:rsid w:val="00356747"/>
    <w:rsid w:val="003606A1"/>
    <w:rsid w:val="00362634"/>
    <w:rsid w:val="003631D4"/>
    <w:rsid w:val="0036528A"/>
    <w:rsid w:val="00372490"/>
    <w:rsid w:val="003724E1"/>
    <w:rsid w:val="00374785"/>
    <w:rsid w:val="00374F99"/>
    <w:rsid w:val="003750B1"/>
    <w:rsid w:val="00387D89"/>
    <w:rsid w:val="00392089"/>
    <w:rsid w:val="00392157"/>
    <w:rsid w:val="00393FB0"/>
    <w:rsid w:val="003973FB"/>
    <w:rsid w:val="003A1EEF"/>
    <w:rsid w:val="003A2B32"/>
    <w:rsid w:val="003A30AE"/>
    <w:rsid w:val="003A518E"/>
    <w:rsid w:val="003A6FD9"/>
    <w:rsid w:val="003B0177"/>
    <w:rsid w:val="003B1A45"/>
    <w:rsid w:val="003B1C96"/>
    <w:rsid w:val="003B5D97"/>
    <w:rsid w:val="003B6DDC"/>
    <w:rsid w:val="003B774A"/>
    <w:rsid w:val="003C44D1"/>
    <w:rsid w:val="003C46E2"/>
    <w:rsid w:val="003C64FC"/>
    <w:rsid w:val="003D33EB"/>
    <w:rsid w:val="003D3D61"/>
    <w:rsid w:val="003D4C6E"/>
    <w:rsid w:val="003D4DFC"/>
    <w:rsid w:val="003D7731"/>
    <w:rsid w:val="003E2FFD"/>
    <w:rsid w:val="003E5D27"/>
    <w:rsid w:val="003F0A5F"/>
    <w:rsid w:val="003F0A6E"/>
    <w:rsid w:val="003F2666"/>
    <w:rsid w:val="003F5DD0"/>
    <w:rsid w:val="00400670"/>
    <w:rsid w:val="0040069E"/>
    <w:rsid w:val="0040123D"/>
    <w:rsid w:val="004037FD"/>
    <w:rsid w:val="00403F64"/>
    <w:rsid w:val="004049FA"/>
    <w:rsid w:val="00404C9E"/>
    <w:rsid w:val="0040669C"/>
    <w:rsid w:val="00410F06"/>
    <w:rsid w:val="00412113"/>
    <w:rsid w:val="0041222C"/>
    <w:rsid w:val="004128C0"/>
    <w:rsid w:val="00413FED"/>
    <w:rsid w:val="00414918"/>
    <w:rsid w:val="004173ED"/>
    <w:rsid w:val="00420198"/>
    <w:rsid w:val="00421BC3"/>
    <w:rsid w:val="00423A2F"/>
    <w:rsid w:val="00423D1A"/>
    <w:rsid w:val="00426EFC"/>
    <w:rsid w:val="004318E8"/>
    <w:rsid w:val="00433266"/>
    <w:rsid w:val="0043343C"/>
    <w:rsid w:val="0043414A"/>
    <w:rsid w:val="004345F2"/>
    <w:rsid w:val="004347B2"/>
    <w:rsid w:val="00440226"/>
    <w:rsid w:val="00440403"/>
    <w:rsid w:val="0044360E"/>
    <w:rsid w:val="004438AB"/>
    <w:rsid w:val="00443AAC"/>
    <w:rsid w:val="004466E4"/>
    <w:rsid w:val="00450228"/>
    <w:rsid w:val="00457796"/>
    <w:rsid w:val="0046128A"/>
    <w:rsid w:val="00462729"/>
    <w:rsid w:val="004635E7"/>
    <w:rsid w:val="004649AD"/>
    <w:rsid w:val="004669BA"/>
    <w:rsid w:val="00470340"/>
    <w:rsid w:val="004703CF"/>
    <w:rsid w:val="004726E3"/>
    <w:rsid w:val="00473CE7"/>
    <w:rsid w:val="0047424D"/>
    <w:rsid w:val="00475381"/>
    <w:rsid w:val="00476318"/>
    <w:rsid w:val="00481371"/>
    <w:rsid w:val="00481DAC"/>
    <w:rsid w:val="004829BA"/>
    <w:rsid w:val="00482E88"/>
    <w:rsid w:val="00483830"/>
    <w:rsid w:val="00484AFF"/>
    <w:rsid w:val="00486A26"/>
    <w:rsid w:val="00490A1F"/>
    <w:rsid w:val="00491052"/>
    <w:rsid w:val="004913BE"/>
    <w:rsid w:val="00492B24"/>
    <w:rsid w:val="00495540"/>
    <w:rsid w:val="004960B6"/>
    <w:rsid w:val="0049762D"/>
    <w:rsid w:val="004A242D"/>
    <w:rsid w:val="004A27F7"/>
    <w:rsid w:val="004A339B"/>
    <w:rsid w:val="004A473E"/>
    <w:rsid w:val="004A5848"/>
    <w:rsid w:val="004B28CE"/>
    <w:rsid w:val="004B47A7"/>
    <w:rsid w:val="004B5D69"/>
    <w:rsid w:val="004C1504"/>
    <w:rsid w:val="004C152C"/>
    <w:rsid w:val="004C1FD5"/>
    <w:rsid w:val="004C296E"/>
    <w:rsid w:val="004C2B34"/>
    <w:rsid w:val="004C5AE3"/>
    <w:rsid w:val="004D0130"/>
    <w:rsid w:val="004D48F5"/>
    <w:rsid w:val="004E1640"/>
    <w:rsid w:val="004E3B03"/>
    <w:rsid w:val="004E46D2"/>
    <w:rsid w:val="004F08E1"/>
    <w:rsid w:val="004F243A"/>
    <w:rsid w:val="004F4FA2"/>
    <w:rsid w:val="004F580F"/>
    <w:rsid w:val="00503180"/>
    <w:rsid w:val="00503ECB"/>
    <w:rsid w:val="00504012"/>
    <w:rsid w:val="00506D80"/>
    <w:rsid w:val="00507555"/>
    <w:rsid w:val="00513459"/>
    <w:rsid w:val="005175EA"/>
    <w:rsid w:val="00520E32"/>
    <w:rsid w:val="005210E7"/>
    <w:rsid w:val="00521C9B"/>
    <w:rsid w:val="005222A7"/>
    <w:rsid w:val="0052245F"/>
    <w:rsid w:val="00522535"/>
    <w:rsid w:val="00523D86"/>
    <w:rsid w:val="00525E72"/>
    <w:rsid w:val="00526482"/>
    <w:rsid w:val="00526615"/>
    <w:rsid w:val="00526B1D"/>
    <w:rsid w:val="005333BD"/>
    <w:rsid w:val="0053577E"/>
    <w:rsid w:val="00535C96"/>
    <w:rsid w:val="00542479"/>
    <w:rsid w:val="005426A3"/>
    <w:rsid w:val="005430CC"/>
    <w:rsid w:val="00543C1B"/>
    <w:rsid w:val="00545525"/>
    <w:rsid w:val="00550CC3"/>
    <w:rsid w:val="005522C5"/>
    <w:rsid w:val="00553339"/>
    <w:rsid w:val="00561A77"/>
    <w:rsid w:val="00564EE9"/>
    <w:rsid w:val="00565EB9"/>
    <w:rsid w:val="0056602F"/>
    <w:rsid w:val="00570777"/>
    <w:rsid w:val="00570C84"/>
    <w:rsid w:val="005718D8"/>
    <w:rsid w:val="00574C98"/>
    <w:rsid w:val="00576301"/>
    <w:rsid w:val="00576D88"/>
    <w:rsid w:val="005823CC"/>
    <w:rsid w:val="005856CE"/>
    <w:rsid w:val="005913F0"/>
    <w:rsid w:val="00592696"/>
    <w:rsid w:val="0059393F"/>
    <w:rsid w:val="005A05DD"/>
    <w:rsid w:val="005A0F04"/>
    <w:rsid w:val="005A1486"/>
    <w:rsid w:val="005A2E54"/>
    <w:rsid w:val="005A34BA"/>
    <w:rsid w:val="005A662E"/>
    <w:rsid w:val="005B07B7"/>
    <w:rsid w:val="005B3341"/>
    <w:rsid w:val="005B3A3C"/>
    <w:rsid w:val="005B3F52"/>
    <w:rsid w:val="005B67A5"/>
    <w:rsid w:val="005B7139"/>
    <w:rsid w:val="005C05C5"/>
    <w:rsid w:val="005C1267"/>
    <w:rsid w:val="005C2F0F"/>
    <w:rsid w:val="005C516A"/>
    <w:rsid w:val="005C73DA"/>
    <w:rsid w:val="005D3069"/>
    <w:rsid w:val="005D3EB4"/>
    <w:rsid w:val="005D624C"/>
    <w:rsid w:val="005D6D16"/>
    <w:rsid w:val="005E140C"/>
    <w:rsid w:val="005E15AD"/>
    <w:rsid w:val="005E4D9F"/>
    <w:rsid w:val="005E53C9"/>
    <w:rsid w:val="005E5BA9"/>
    <w:rsid w:val="005F06CD"/>
    <w:rsid w:val="005F0753"/>
    <w:rsid w:val="005F0F16"/>
    <w:rsid w:val="005F1DD0"/>
    <w:rsid w:val="005F59AD"/>
    <w:rsid w:val="005F6732"/>
    <w:rsid w:val="005F71DC"/>
    <w:rsid w:val="00601A43"/>
    <w:rsid w:val="00605F1D"/>
    <w:rsid w:val="00607CEB"/>
    <w:rsid w:val="00610BFE"/>
    <w:rsid w:val="0061201B"/>
    <w:rsid w:val="00612E01"/>
    <w:rsid w:val="00613CEF"/>
    <w:rsid w:val="006142AE"/>
    <w:rsid w:val="00614E3A"/>
    <w:rsid w:val="0061622D"/>
    <w:rsid w:val="00616B3E"/>
    <w:rsid w:val="006205AA"/>
    <w:rsid w:val="00620E63"/>
    <w:rsid w:val="006214DA"/>
    <w:rsid w:val="00622710"/>
    <w:rsid w:val="006239C8"/>
    <w:rsid w:val="0062722D"/>
    <w:rsid w:val="00627FF7"/>
    <w:rsid w:val="0063000B"/>
    <w:rsid w:val="00634FB9"/>
    <w:rsid w:val="00635C8B"/>
    <w:rsid w:val="00636ABF"/>
    <w:rsid w:val="0064361B"/>
    <w:rsid w:val="00644095"/>
    <w:rsid w:val="006445BC"/>
    <w:rsid w:val="006469F7"/>
    <w:rsid w:val="006474D8"/>
    <w:rsid w:val="00656D3B"/>
    <w:rsid w:val="006605B2"/>
    <w:rsid w:val="00660C5F"/>
    <w:rsid w:val="00660DA3"/>
    <w:rsid w:val="00661355"/>
    <w:rsid w:val="0066454B"/>
    <w:rsid w:val="00671B4C"/>
    <w:rsid w:val="00675965"/>
    <w:rsid w:val="006777BA"/>
    <w:rsid w:val="0068083B"/>
    <w:rsid w:val="00680DF5"/>
    <w:rsid w:val="006818C4"/>
    <w:rsid w:val="00684D94"/>
    <w:rsid w:val="006856D2"/>
    <w:rsid w:val="00690AD8"/>
    <w:rsid w:val="00691240"/>
    <w:rsid w:val="006945AB"/>
    <w:rsid w:val="00694F21"/>
    <w:rsid w:val="00697621"/>
    <w:rsid w:val="006A098D"/>
    <w:rsid w:val="006A7A51"/>
    <w:rsid w:val="006B1E99"/>
    <w:rsid w:val="006B445C"/>
    <w:rsid w:val="006B7845"/>
    <w:rsid w:val="006C02D1"/>
    <w:rsid w:val="006C2118"/>
    <w:rsid w:val="006C68A2"/>
    <w:rsid w:val="006C6980"/>
    <w:rsid w:val="006C6D06"/>
    <w:rsid w:val="006C7D90"/>
    <w:rsid w:val="006D1C29"/>
    <w:rsid w:val="006D3F61"/>
    <w:rsid w:val="006D41F6"/>
    <w:rsid w:val="006D5AE8"/>
    <w:rsid w:val="006D6621"/>
    <w:rsid w:val="006D73B5"/>
    <w:rsid w:val="006E1633"/>
    <w:rsid w:val="006E346E"/>
    <w:rsid w:val="006F2DA9"/>
    <w:rsid w:val="006F37BC"/>
    <w:rsid w:val="006F5130"/>
    <w:rsid w:val="006F545D"/>
    <w:rsid w:val="006F5AEB"/>
    <w:rsid w:val="006F5F68"/>
    <w:rsid w:val="006F62A7"/>
    <w:rsid w:val="006F6F4A"/>
    <w:rsid w:val="007008D6"/>
    <w:rsid w:val="0070121E"/>
    <w:rsid w:val="007017C2"/>
    <w:rsid w:val="00701810"/>
    <w:rsid w:val="00702D27"/>
    <w:rsid w:val="00702E0A"/>
    <w:rsid w:val="0070333F"/>
    <w:rsid w:val="00704DB6"/>
    <w:rsid w:val="007061C1"/>
    <w:rsid w:val="00722856"/>
    <w:rsid w:val="00722DAF"/>
    <w:rsid w:val="00723F71"/>
    <w:rsid w:val="00724587"/>
    <w:rsid w:val="00724C4E"/>
    <w:rsid w:val="00727356"/>
    <w:rsid w:val="00731841"/>
    <w:rsid w:val="00732F82"/>
    <w:rsid w:val="00733BB2"/>
    <w:rsid w:val="0073514C"/>
    <w:rsid w:val="00736C20"/>
    <w:rsid w:val="00740FC9"/>
    <w:rsid w:val="0074117B"/>
    <w:rsid w:val="00741676"/>
    <w:rsid w:val="00743825"/>
    <w:rsid w:val="00744A9F"/>
    <w:rsid w:val="00745C42"/>
    <w:rsid w:val="007461A4"/>
    <w:rsid w:val="007467D8"/>
    <w:rsid w:val="00747BFB"/>
    <w:rsid w:val="00750061"/>
    <w:rsid w:val="0075295B"/>
    <w:rsid w:val="0075660E"/>
    <w:rsid w:val="0075684A"/>
    <w:rsid w:val="00761377"/>
    <w:rsid w:val="00762816"/>
    <w:rsid w:val="00763E37"/>
    <w:rsid w:val="00763F31"/>
    <w:rsid w:val="00766BE9"/>
    <w:rsid w:val="00766C58"/>
    <w:rsid w:val="00766DBD"/>
    <w:rsid w:val="007677DC"/>
    <w:rsid w:val="007760DD"/>
    <w:rsid w:val="0078174B"/>
    <w:rsid w:val="00782E16"/>
    <w:rsid w:val="0078752C"/>
    <w:rsid w:val="007876FD"/>
    <w:rsid w:val="0079236A"/>
    <w:rsid w:val="0079249B"/>
    <w:rsid w:val="00792B4C"/>
    <w:rsid w:val="00793F90"/>
    <w:rsid w:val="00796065"/>
    <w:rsid w:val="007A0F90"/>
    <w:rsid w:val="007A2784"/>
    <w:rsid w:val="007A4216"/>
    <w:rsid w:val="007A4CBA"/>
    <w:rsid w:val="007A61D5"/>
    <w:rsid w:val="007A6C6B"/>
    <w:rsid w:val="007A7164"/>
    <w:rsid w:val="007C048D"/>
    <w:rsid w:val="007C200A"/>
    <w:rsid w:val="007C3AC9"/>
    <w:rsid w:val="007D13A4"/>
    <w:rsid w:val="007D1F93"/>
    <w:rsid w:val="007D2AE4"/>
    <w:rsid w:val="007D3AFC"/>
    <w:rsid w:val="007D3D4F"/>
    <w:rsid w:val="007D409E"/>
    <w:rsid w:val="007D4FDA"/>
    <w:rsid w:val="007D6609"/>
    <w:rsid w:val="007D6A15"/>
    <w:rsid w:val="007D7487"/>
    <w:rsid w:val="007E1941"/>
    <w:rsid w:val="007E5C21"/>
    <w:rsid w:val="007E7CF1"/>
    <w:rsid w:val="007F0718"/>
    <w:rsid w:val="007F08D6"/>
    <w:rsid w:val="007F265F"/>
    <w:rsid w:val="007F29CE"/>
    <w:rsid w:val="007F2B33"/>
    <w:rsid w:val="007F2EE7"/>
    <w:rsid w:val="007F46E9"/>
    <w:rsid w:val="007F4F3F"/>
    <w:rsid w:val="007F5F43"/>
    <w:rsid w:val="007F6751"/>
    <w:rsid w:val="00804F68"/>
    <w:rsid w:val="008055F6"/>
    <w:rsid w:val="00805A17"/>
    <w:rsid w:val="00807505"/>
    <w:rsid w:val="00807FA5"/>
    <w:rsid w:val="00812E0E"/>
    <w:rsid w:val="00812EB7"/>
    <w:rsid w:val="00813408"/>
    <w:rsid w:val="008228B9"/>
    <w:rsid w:val="00824828"/>
    <w:rsid w:val="00824AC5"/>
    <w:rsid w:val="008317C3"/>
    <w:rsid w:val="008333AB"/>
    <w:rsid w:val="00833500"/>
    <w:rsid w:val="00842802"/>
    <w:rsid w:val="00845C90"/>
    <w:rsid w:val="0084602D"/>
    <w:rsid w:val="008470A9"/>
    <w:rsid w:val="00847C32"/>
    <w:rsid w:val="00854E6D"/>
    <w:rsid w:val="0086163C"/>
    <w:rsid w:val="00861B70"/>
    <w:rsid w:val="00862560"/>
    <w:rsid w:val="00863778"/>
    <w:rsid w:val="00864082"/>
    <w:rsid w:val="00865EF6"/>
    <w:rsid w:val="008663DF"/>
    <w:rsid w:val="0086672B"/>
    <w:rsid w:val="0086699A"/>
    <w:rsid w:val="008676F7"/>
    <w:rsid w:val="008712A3"/>
    <w:rsid w:val="00876B1C"/>
    <w:rsid w:val="00876BDE"/>
    <w:rsid w:val="00877260"/>
    <w:rsid w:val="0087730C"/>
    <w:rsid w:val="00883341"/>
    <w:rsid w:val="00883AEB"/>
    <w:rsid w:val="0088562E"/>
    <w:rsid w:val="0088637D"/>
    <w:rsid w:val="0088663F"/>
    <w:rsid w:val="0089144A"/>
    <w:rsid w:val="0089291B"/>
    <w:rsid w:val="0089731A"/>
    <w:rsid w:val="008A15DF"/>
    <w:rsid w:val="008A1C5A"/>
    <w:rsid w:val="008A22E0"/>
    <w:rsid w:val="008A2ECD"/>
    <w:rsid w:val="008A5ECC"/>
    <w:rsid w:val="008A6412"/>
    <w:rsid w:val="008A6AEF"/>
    <w:rsid w:val="008A720D"/>
    <w:rsid w:val="008A7FF8"/>
    <w:rsid w:val="008B0C6D"/>
    <w:rsid w:val="008B1A19"/>
    <w:rsid w:val="008B4B6D"/>
    <w:rsid w:val="008B531A"/>
    <w:rsid w:val="008B5E5F"/>
    <w:rsid w:val="008C3E2E"/>
    <w:rsid w:val="008C435E"/>
    <w:rsid w:val="008C4A77"/>
    <w:rsid w:val="008C5372"/>
    <w:rsid w:val="008C6F75"/>
    <w:rsid w:val="008D0661"/>
    <w:rsid w:val="008D075F"/>
    <w:rsid w:val="008D0D50"/>
    <w:rsid w:val="008D1CFF"/>
    <w:rsid w:val="008D480A"/>
    <w:rsid w:val="008E42CA"/>
    <w:rsid w:val="008E5A25"/>
    <w:rsid w:val="008F1893"/>
    <w:rsid w:val="008F7BCF"/>
    <w:rsid w:val="0090009F"/>
    <w:rsid w:val="00900CD6"/>
    <w:rsid w:val="00901172"/>
    <w:rsid w:val="009037D8"/>
    <w:rsid w:val="009074EF"/>
    <w:rsid w:val="00912C28"/>
    <w:rsid w:val="009141DF"/>
    <w:rsid w:val="00914675"/>
    <w:rsid w:val="009152FE"/>
    <w:rsid w:val="0092375C"/>
    <w:rsid w:val="00924DDB"/>
    <w:rsid w:val="00927B76"/>
    <w:rsid w:val="00932960"/>
    <w:rsid w:val="0093404F"/>
    <w:rsid w:val="009409F6"/>
    <w:rsid w:val="00941939"/>
    <w:rsid w:val="00942491"/>
    <w:rsid w:val="00942E16"/>
    <w:rsid w:val="00943480"/>
    <w:rsid w:val="009438D9"/>
    <w:rsid w:val="00945C18"/>
    <w:rsid w:val="0094751F"/>
    <w:rsid w:val="009515EA"/>
    <w:rsid w:val="00951AAD"/>
    <w:rsid w:val="009521C2"/>
    <w:rsid w:val="00952C72"/>
    <w:rsid w:val="00955B68"/>
    <w:rsid w:val="00963166"/>
    <w:rsid w:val="009672D8"/>
    <w:rsid w:val="009705FE"/>
    <w:rsid w:val="00971EF0"/>
    <w:rsid w:val="00971F8D"/>
    <w:rsid w:val="00977902"/>
    <w:rsid w:val="00981606"/>
    <w:rsid w:val="00981814"/>
    <w:rsid w:val="00983500"/>
    <w:rsid w:val="009863E9"/>
    <w:rsid w:val="0099184F"/>
    <w:rsid w:val="00991BF9"/>
    <w:rsid w:val="00993817"/>
    <w:rsid w:val="0099412D"/>
    <w:rsid w:val="009942E5"/>
    <w:rsid w:val="00994A86"/>
    <w:rsid w:val="00995F4A"/>
    <w:rsid w:val="009A78DF"/>
    <w:rsid w:val="009B7BB0"/>
    <w:rsid w:val="009C1C99"/>
    <w:rsid w:val="009C2EE1"/>
    <w:rsid w:val="009C7E4A"/>
    <w:rsid w:val="009D1EF5"/>
    <w:rsid w:val="009D2DF7"/>
    <w:rsid w:val="009D5E5A"/>
    <w:rsid w:val="009D621A"/>
    <w:rsid w:val="009D7C01"/>
    <w:rsid w:val="009E012B"/>
    <w:rsid w:val="009E0F4C"/>
    <w:rsid w:val="009F261F"/>
    <w:rsid w:val="00A03484"/>
    <w:rsid w:val="00A044A8"/>
    <w:rsid w:val="00A10335"/>
    <w:rsid w:val="00A11D6B"/>
    <w:rsid w:val="00A12125"/>
    <w:rsid w:val="00A15462"/>
    <w:rsid w:val="00A17C62"/>
    <w:rsid w:val="00A200B9"/>
    <w:rsid w:val="00A22E1F"/>
    <w:rsid w:val="00A24ADC"/>
    <w:rsid w:val="00A27BE4"/>
    <w:rsid w:val="00A311C2"/>
    <w:rsid w:val="00A31297"/>
    <w:rsid w:val="00A33178"/>
    <w:rsid w:val="00A33366"/>
    <w:rsid w:val="00A345AA"/>
    <w:rsid w:val="00A34AC4"/>
    <w:rsid w:val="00A35376"/>
    <w:rsid w:val="00A36AB2"/>
    <w:rsid w:val="00A37BC8"/>
    <w:rsid w:val="00A40287"/>
    <w:rsid w:val="00A45084"/>
    <w:rsid w:val="00A45208"/>
    <w:rsid w:val="00A47566"/>
    <w:rsid w:val="00A50F4D"/>
    <w:rsid w:val="00A52C98"/>
    <w:rsid w:val="00A52E96"/>
    <w:rsid w:val="00A53ED0"/>
    <w:rsid w:val="00A5740D"/>
    <w:rsid w:val="00A62DD4"/>
    <w:rsid w:val="00A6508F"/>
    <w:rsid w:val="00A70373"/>
    <w:rsid w:val="00A7044D"/>
    <w:rsid w:val="00A7070F"/>
    <w:rsid w:val="00A74EB5"/>
    <w:rsid w:val="00A75069"/>
    <w:rsid w:val="00A76753"/>
    <w:rsid w:val="00A76AD3"/>
    <w:rsid w:val="00A81174"/>
    <w:rsid w:val="00A81FAD"/>
    <w:rsid w:val="00A83D02"/>
    <w:rsid w:val="00A87451"/>
    <w:rsid w:val="00A915B3"/>
    <w:rsid w:val="00A9177B"/>
    <w:rsid w:val="00A922DD"/>
    <w:rsid w:val="00A94252"/>
    <w:rsid w:val="00A94C4E"/>
    <w:rsid w:val="00A95566"/>
    <w:rsid w:val="00A97430"/>
    <w:rsid w:val="00AA2783"/>
    <w:rsid w:val="00AA5130"/>
    <w:rsid w:val="00AA73A2"/>
    <w:rsid w:val="00AA7B27"/>
    <w:rsid w:val="00AB0A41"/>
    <w:rsid w:val="00AB2031"/>
    <w:rsid w:val="00AB62BB"/>
    <w:rsid w:val="00AC10A8"/>
    <w:rsid w:val="00AC1A19"/>
    <w:rsid w:val="00AC5887"/>
    <w:rsid w:val="00AC68A3"/>
    <w:rsid w:val="00AD1AD3"/>
    <w:rsid w:val="00AD1E17"/>
    <w:rsid w:val="00AD4F7A"/>
    <w:rsid w:val="00AD59C6"/>
    <w:rsid w:val="00AE0BF8"/>
    <w:rsid w:val="00AE119C"/>
    <w:rsid w:val="00AE18A3"/>
    <w:rsid w:val="00AE1D21"/>
    <w:rsid w:val="00AE2251"/>
    <w:rsid w:val="00AE5201"/>
    <w:rsid w:val="00B0370E"/>
    <w:rsid w:val="00B049F0"/>
    <w:rsid w:val="00B04EEC"/>
    <w:rsid w:val="00B05B4A"/>
    <w:rsid w:val="00B0737E"/>
    <w:rsid w:val="00B1059A"/>
    <w:rsid w:val="00B15872"/>
    <w:rsid w:val="00B1599E"/>
    <w:rsid w:val="00B15DB4"/>
    <w:rsid w:val="00B20C8D"/>
    <w:rsid w:val="00B20CF2"/>
    <w:rsid w:val="00B21D6F"/>
    <w:rsid w:val="00B223BD"/>
    <w:rsid w:val="00B23C0B"/>
    <w:rsid w:val="00B24336"/>
    <w:rsid w:val="00B25D0E"/>
    <w:rsid w:val="00B2689E"/>
    <w:rsid w:val="00B278AB"/>
    <w:rsid w:val="00B31203"/>
    <w:rsid w:val="00B31534"/>
    <w:rsid w:val="00B340F0"/>
    <w:rsid w:val="00B3565A"/>
    <w:rsid w:val="00B3582B"/>
    <w:rsid w:val="00B40679"/>
    <w:rsid w:val="00B4119A"/>
    <w:rsid w:val="00B43A62"/>
    <w:rsid w:val="00B52250"/>
    <w:rsid w:val="00B525BD"/>
    <w:rsid w:val="00B6010A"/>
    <w:rsid w:val="00B64016"/>
    <w:rsid w:val="00B642F5"/>
    <w:rsid w:val="00B64D67"/>
    <w:rsid w:val="00B65504"/>
    <w:rsid w:val="00B65CF7"/>
    <w:rsid w:val="00B67BE4"/>
    <w:rsid w:val="00B73026"/>
    <w:rsid w:val="00B76912"/>
    <w:rsid w:val="00B7719D"/>
    <w:rsid w:val="00B778EA"/>
    <w:rsid w:val="00B840A2"/>
    <w:rsid w:val="00B91A6A"/>
    <w:rsid w:val="00B926A3"/>
    <w:rsid w:val="00B92D19"/>
    <w:rsid w:val="00B944C6"/>
    <w:rsid w:val="00B95553"/>
    <w:rsid w:val="00B96226"/>
    <w:rsid w:val="00BA1230"/>
    <w:rsid w:val="00BA1EF2"/>
    <w:rsid w:val="00BA29EF"/>
    <w:rsid w:val="00BA3FC9"/>
    <w:rsid w:val="00BA708B"/>
    <w:rsid w:val="00BB5D84"/>
    <w:rsid w:val="00BC6208"/>
    <w:rsid w:val="00BC67D9"/>
    <w:rsid w:val="00BC7D51"/>
    <w:rsid w:val="00BD3F67"/>
    <w:rsid w:val="00BD46F2"/>
    <w:rsid w:val="00BD4706"/>
    <w:rsid w:val="00BD4E1B"/>
    <w:rsid w:val="00BD5215"/>
    <w:rsid w:val="00BD6F4C"/>
    <w:rsid w:val="00BE0257"/>
    <w:rsid w:val="00BE16D2"/>
    <w:rsid w:val="00BE19AC"/>
    <w:rsid w:val="00BE4247"/>
    <w:rsid w:val="00BE7E05"/>
    <w:rsid w:val="00BF00D8"/>
    <w:rsid w:val="00BF2E28"/>
    <w:rsid w:val="00BF4006"/>
    <w:rsid w:val="00BF4DA0"/>
    <w:rsid w:val="00BF582C"/>
    <w:rsid w:val="00BF67D7"/>
    <w:rsid w:val="00C005AF"/>
    <w:rsid w:val="00C01A0F"/>
    <w:rsid w:val="00C0261B"/>
    <w:rsid w:val="00C02EE1"/>
    <w:rsid w:val="00C077F1"/>
    <w:rsid w:val="00C10376"/>
    <w:rsid w:val="00C10DB4"/>
    <w:rsid w:val="00C11787"/>
    <w:rsid w:val="00C12842"/>
    <w:rsid w:val="00C148F7"/>
    <w:rsid w:val="00C158B9"/>
    <w:rsid w:val="00C160EA"/>
    <w:rsid w:val="00C16CB1"/>
    <w:rsid w:val="00C20E61"/>
    <w:rsid w:val="00C20F33"/>
    <w:rsid w:val="00C22C0C"/>
    <w:rsid w:val="00C23767"/>
    <w:rsid w:val="00C23F31"/>
    <w:rsid w:val="00C23FAA"/>
    <w:rsid w:val="00C273A9"/>
    <w:rsid w:val="00C3084B"/>
    <w:rsid w:val="00C317B0"/>
    <w:rsid w:val="00C32179"/>
    <w:rsid w:val="00C33014"/>
    <w:rsid w:val="00C33D8C"/>
    <w:rsid w:val="00C3646B"/>
    <w:rsid w:val="00C365AA"/>
    <w:rsid w:val="00C40027"/>
    <w:rsid w:val="00C40ACA"/>
    <w:rsid w:val="00C422AE"/>
    <w:rsid w:val="00C42C72"/>
    <w:rsid w:val="00C45685"/>
    <w:rsid w:val="00C46B06"/>
    <w:rsid w:val="00C4770B"/>
    <w:rsid w:val="00C50959"/>
    <w:rsid w:val="00C50FD5"/>
    <w:rsid w:val="00C52244"/>
    <w:rsid w:val="00C5362D"/>
    <w:rsid w:val="00C557AC"/>
    <w:rsid w:val="00C61569"/>
    <w:rsid w:val="00C61D69"/>
    <w:rsid w:val="00C627F2"/>
    <w:rsid w:val="00C628CB"/>
    <w:rsid w:val="00C633A5"/>
    <w:rsid w:val="00C63FCC"/>
    <w:rsid w:val="00C65CB1"/>
    <w:rsid w:val="00C65DBC"/>
    <w:rsid w:val="00C65F6C"/>
    <w:rsid w:val="00C66701"/>
    <w:rsid w:val="00C718EB"/>
    <w:rsid w:val="00C720A7"/>
    <w:rsid w:val="00C72752"/>
    <w:rsid w:val="00C729BC"/>
    <w:rsid w:val="00C74828"/>
    <w:rsid w:val="00C76010"/>
    <w:rsid w:val="00C8063F"/>
    <w:rsid w:val="00C82189"/>
    <w:rsid w:val="00C82C3C"/>
    <w:rsid w:val="00C82EA4"/>
    <w:rsid w:val="00C8384B"/>
    <w:rsid w:val="00C84452"/>
    <w:rsid w:val="00C8468B"/>
    <w:rsid w:val="00C900FE"/>
    <w:rsid w:val="00C925A2"/>
    <w:rsid w:val="00C93603"/>
    <w:rsid w:val="00C952EE"/>
    <w:rsid w:val="00CA228C"/>
    <w:rsid w:val="00CA24DC"/>
    <w:rsid w:val="00CA2C2C"/>
    <w:rsid w:val="00CA5793"/>
    <w:rsid w:val="00CA5CD2"/>
    <w:rsid w:val="00CB1DFA"/>
    <w:rsid w:val="00CB37FE"/>
    <w:rsid w:val="00CB4521"/>
    <w:rsid w:val="00CB481B"/>
    <w:rsid w:val="00CB4D7C"/>
    <w:rsid w:val="00CB60F5"/>
    <w:rsid w:val="00CC1F4B"/>
    <w:rsid w:val="00CC234A"/>
    <w:rsid w:val="00CC25E8"/>
    <w:rsid w:val="00CC3E8E"/>
    <w:rsid w:val="00CC4C52"/>
    <w:rsid w:val="00CC4C9F"/>
    <w:rsid w:val="00CC6205"/>
    <w:rsid w:val="00CD07C4"/>
    <w:rsid w:val="00CD0B46"/>
    <w:rsid w:val="00CD3CCE"/>
    <w:rsid w:val="00CD6DF7"/>
    <w:rsid w:val="00CE012D"/>
    <w:rsid w:val="00CE0132"/>
    <w:rsid w:val="00CE1157"/>
    <w:rsid w:val="00CE11F4"/>
    <w:rsid w:val="00CE50DC"/>
    <w:rsid w:val="00CE6731"/>
    <w:rsid w:val="00CE79DC"/>
    <w:rsid w:val="00CE7B2C"/>
    <w:rsid w:val="00CF2A13"/>
    <w:rsid w:val="00CF373C"/>
    <w:rsid w:val="00CF49F4"/>
    <w:rsid w:val="00CF4EF4"/>
    <w:rsid w:val="00CF57FE"/>
    <w:rsid w:val="00CF591F"/>
    <w:rsid w:val="00CF6384"/>
    <w:rsid w:val="00D02A22"/>
    <w:rsid w:val="00D037D0"/>
    <w:rsid w:val="00D05F26"/>
    <w:rsid w:val="00D11E4A"/>
    <w:rsid w:val="00D14AB0"/>
    <w:rsid w:val="00D151D8"/>
    <w:rsid w:val="00D203A1"/>
    <w:rsid w:val="00D21159"/>
    <w:rsid w:val="00D219B1"/>
    <w:rsid w:val="00D24BFB"/>
    <w:rsid w:val="00D2693E"/>
    <w:rsid w:val="00D26E15"/>
    <w:rsid w:val="00D26E2F"/>
    <w:rsid w:val="00D30EAE"/>
    <w:rsid w:val="00D32A8B"/>
    <w:rsid w:val="00D331C8"/>
    <w:rsid w:val="00D344FE"/>
    <w:rsid w:val="00D3615A"/>
    <w:rsid w:val="00D4045D"/>
    <w:rsid w:val="00D419B2"/>
    <w:rsid w:val="00D42742"/>
    <w:rsid w:val="00D437C3"/>
    <w:rsid w:val="00D4430C"/>
    <w:rsid w:val="00D44571"/>
    <w:rsid w:val="00D44D9B"/>
    <w:rsid w:val="00D459B7"/>
    <w:rsid w:val="00D45B33"/>
    <w:rsid w:val="00D56B10"/>
    <w:rsid w:val="00D56FAD"/>
    <w:rsid w:val="00D56FB3"/>
    <w:rsid w:val="00D6434A"/>
    <w:rsid w:val="00D711FC"/>
    <w:rsid w:val="00D71615"/>
    <w:rsid w:val="00D7259C"/>
    <w:rsid w:val="00D73609"/>
    <w:rsid w:val="00D73AB4"/>
    <w:rsid w:val="00D8192E"/>
    <w:rsid w:val="00D83C67"/>
    <w:rsid w:val="00D85A4A"/>
    <w:rsid w:val="00D85C8D"/>
    <w:rsid w:val="00D86895"/>
    <w:rsid w:val="00D870A3"/>
    <w:rsid w:val="00D90756"/>
    <w:rsid w:val="00D9200C"/>
    <w:rsid w:val="00D9261D"/>
    <w:rsid w:val="00D9525D"/>
    <w:rsid w:val="00D9727A"/>
    <w:rsid w:val="00D97D75"/>
    <w:rsid w:val="00D97D84"/>
    <w:rsid w:val="00D97F38"/>
    <w:rsid w:val="00DA4302"/>
    <w:rsid w:val="00DB0A68"/>
    <w:rsid w:val="00DB1399"/>
    <w:rsid w:val="00DB3378"/>
    <w:rsid w:val="00DB7163"/>
    <w:rsid w:val="00DC2123"/>
    <w:rsid w:val="00DC2181"/>
    <w:rsid w:val="00DC3C21"/>
    <w:rsid w:val="00DC5B2A"/>
    <w:rsid w:val="00DC691B"/>
    <w:rsid w:val="00DC77AC"/>
    <w:rsid w:val="00DD0983"/>
    <w:rsid w:val="00DD2ED6"/>
    <w:rsid w:val="00DD3E5E"/>
    <w:rsid w:val="00DD4FBA"/>
    <w:rsid w:val="00DD6A43"/>
    <w:rsid w:val="00DE0C70"/>
    <w:rsid w:val="00DE3390"/>
    <w:rsid w:val="00DE43B3"/>
    <w:rsid w:val="00DE5195"/>
    <w:rsid w:val="00DE6763"/>
    <w:rsid w:val="00DF0BB3"/>
    <w:rsid w:val="00DF232C"/>
    <w:rsid w:val="00DF25DE"/>
    <w:rsid w:val="00DF26E9"/>
    <w:rsid w:val="00DF59F7"/>
    <w:rsid w:val="00DF618C"/>
    <w:rsid w:val="00DF6954"/>
    <w:rsid w:val="00DF7896"/>
    <w:rsid w:val="00E02E2E"/>
    <w:rsid w:val="00E03BA4"/>
    <w:rsid w:val="00E04524"/>
    <w:rsid w:val="00E06AA0"/>
    <w:rsid w:val="00E10147"/>
    <w:rsid w:val="00E10501"/>
    <w:rsid w:val="00E12152"/>
    <w:rsid w:val="00E1431B"/>
    <w:rsid w:val="00E14992"/>
    <w:rsid w:val="00E15416"/>
    <w:rsid w:val="00E2007C"/>
    <w:rsid w:val="00E2091D"/>
    <w:rsid w:val="00E217AA"/>
    <w:rsid w:val="00E25527"/>
    <w:rsid w:val="00E259DE"/>
    <w:rsid w:val="00E30A0C"/>
    <w:rsid w:val="00E3335C"/>
    <w:rsid w:val="00E356D0"/>
    <w:rsid w:val="00E3584B"/>
    <w:rsid w:val="00E3647A"/>
    <w:rsid w:val="00E376E0"/>
    <w:rsid w:val="00E37852"/>
    <w:rsid w:val="00E4203F"/>
    <w:rsid w:val="00E42213"/>
    <w:rsid w:val="00E425A1"/>
    <w:rsid w:val="00E425F8"/>
    <w:rsid w:val="00E46A46"/>
    <w:rsid w:val="00E518FD"/>
    <w:rsid w:val="00E52199"/>
    <w:rsid w:val="00E53251"/>
    <w:rsid w:val="00E53D98"/>
    <w:rsid w:val="00E53FD2"/>
    <w:rsid w:val="00E54910"/>
    <w:rsid w:val="00E57E8F"/>
    <w:rsid w:val="00E61025"/>
    <w:rsid w:val="00E626CC"/>
    <w:rsid w:val="00E6506B"/>
    <w:rsid w:val="00E66587"/>
    <w:rsid w:val="00E703DE"/>
    <w:rsid w:val="00E706A0"/>
    <w:rsid w:val="00E773B0"/>
    <w:rsid w:val="00E82488"/>
    <w:rsid w:val="00E83135"/>
    <w:rsid w:val="00E83988"/>
    <w:rsid w:val="00E84EFE"/>
    <w:rsid w:val="00E8716A"/>
    <w:rsid w:val="00E9185C"/>
    <w:rsid w:val="00E91E44"/>
    <w:rsid w:val="00E926BC"/>
    <w:rsid w:val="00E9365C"/>
    <w:rsid w:val="00EA17E0"/>
    <w:rsid w:val="00EA2E59"/>
    <w:rsid w:val="00EB07B1"/>
    <w:rsid w:val="00EB1CCB"/>
    <w:rsid w:val="00EB1D0C"/>
    <w:rsid w:val="00EB2DF5"/>
    <w:rsid w:val="00EB3431"/>
    <w:rsid w:val="00EB38DE"/>
    <w:rsid w:val="00EB4946"/>
    <w:rsid w:val="00EB5776"/>
    <w:rsid w:val="00EB7F8E"/>
    <w:rsid w:val="00EC074F"/>
    <w:rsid w:val="00EC2E19"/>
    <w:rsid w:val="00EC50F9"/>
    <w:rsid w:val="00EC7F1A"/>
    <w:rsid w:val="00EC7FBD"/>
    <w:rsid w:val="00ED1BF6"/>
    <w:rsid w:val="00ED257E"/>
    <w:rsid w:val="00ED2D47"/>
    <w:rsid w:val="00ED4626"/>
    <w:rsid w:val="00ED5D78"/>
    <w:rsid w:val="00EE00F4"/>
    <w:rsid w:val="00EE1140"/>
    <w:rsid w:val="00EE3926"/>
    <w:rsid w:val="00EF0017"/>
    <w:rsid w:val="00EF048E"/>
    <w:rsid w:val="00EF190F"/>
    <w:rsid w:val="00EF19B4"/>
    <w:rsid w:val="00EF33C0"/>
    <w:rsid w:val="00EF3D99"/>
    <w:rsid w:val="00EF4C18"/>
    <w:rsid w:val="00EF5366"/>
    <w:rsid w:val="00EF53AE"/>
    <w:rsid w:val="00EF5DF2"/>
    <w:rsid w:val="00EF5F35"/>
    <w:rsid w:val="00EF6F57"/>
    <w:rsid w:val="00EF7CF5"/>
    <w:rsid w:val="00F01FEB"/>
    <w:rsid w:val="00F056F4"/>
    <w:rsid w:val="00F05AB4"/>
    <w:rsid w:val="00F06C08"/>
    <w:rsid w:val="00F07347"/>
    <w:rsid w:val="00F10E0F"/>
    <w:rsid w:val="00F11FA1"/>
    <w:rsid w:val="00F14DF3"/>
    <w:rsid w:val="00F204B5"/>
    <w:rsid w:val="00F22384"/>
    <w:rsid w:val="00F23A32"/>
    <w:rsid w:val="00F25348"/>
    <w:rsid w:val="00F26CBC"/>
    <w:rsid w:val="00F27FC4"/>
    <w:rsid w:val="00F302C7"/>
    <w:rsid w:val="00F31E6A"/>
    <w:rsid w:val="00F3572C"/>
    <w:rsid w:val="00F371AF"/>
    <w:rsid w:val="00F40892"/>
    <w:rsid w:val="00F41A37"/>
    <w:rsid w:val="00F4261B"/>
    <w:rsid w:val="00F43789"/>
    <w:rsid w:val="00F45272"/>
    <w:rsid w:val="00F473C2"/>
    <w:rsid w:val="00F56F14"/>
    <w:rsid w:val="00F62790"/>
    <w:rsid w:val="00F62BB8"/>
    <w:rsid w:val="00F65F81"/>
    <w:rsid w:val="00F66FD0"/>
    <w:rsid w:val="00F67465"/>
    <w:rsid w:val="00F67DA1"/>
    <w:rsid w:val="00F7216E"/>
    <w:rsid w:val="00F73597"/>
    <w:rsid w:val="00F74353"/>
    <w:rsid w:val="00F75850"/>
    <w:rsid w:val="00F776B9"/>
    <w:rsid w:val="00F77AD4"/>
    <w:rsid w:val="00F81001"/>
    <w:rsid w:val="00F8434F"/>
    <w:rsid w:val="00F862F8"/>
    <w:rsid w:val="00F86C66"/>
    <w:rsid w:val="00F9038C"/>
    <w:rsid w:val="00F92044"/>
    <w:rsid w:val="00F92FAD"/>
    <w:rsid w:val="00F93DE8"/>
    <w:rsid w:val="00F949F0"/>
    <w:rsid w:val="00F97A71"/>
    <w:rsid w:val="00FA0738"/>
    <w:rsid w:val="00FA2E64"/>
    <w:rsid w:val="00FA300B"/>
    <w:rsid w:val="00FA404C"/>
    <w:rsid w:val="00FA415D"/>
    <w:rsid w:val="00FA4293"/>
    <w:rsid w:val="00FA65F3"/>
    <w:rsid w:val="00FA71A7"/>
    <w:rsid w:val="00FA7242"/>
    <w:rsid w:val="00FB0892"/>
    <w:rsid w:val="00FB1F91"/>
    <w:rsid w:val="00FB29A7"/>
    <w:rsid w:val="00FB30C0"/>
    <w:rsid w:val="00FB4E2F"/>
    <w:rsid w:val="00FB5B17"/>
    <w:rsid w:val="00FB5CEF"/>
    <w:rsid w:val="00FB75CE"/>
    <w:rsid w:val="00FD2746"/>
    <w:rsid w:val="00FE1B3A"/>
    <w:rsid w:val="00FE3859"/>
    <w:rsid w:val="00FE48E5"/>
    <w:rsid w:val="00FE684C"/>
    <w:rsid w:val="00FE719E"/>
    <w:rsid w:val="00FF020B"/>
    <w:rsid w:val="00FF13FB"/>
    <w:rsid w:val="00FF323F"/>
    <w:rsid w:val="00FF543C"/>
    <w:rsid w:val="00FF55C6"/>
    <w:rsid w:val="00FF7A4D"/>
    <w:rsid w:val="00FF7B14"/>
    <w:rsid w:val="0102732C"/>
    <w:rsid w:val="02B26E88"/>
    <w:rsid w:val="0314497B"/>
    <w:rsid w:val="093E76C7"/>
    <w:rsid w:val="09BC6B52"/>
    <w:rsid w:val="0B0C7351"/>
    <w:rsid w:val="12080872"/>
    <w:rsid w:val="194E58D1"/>
    <w:rsid w:val="1B697EA8"/>
    <w:rsid w:val="1B982C5C"/>
    <w:rsid w:val="1C27223D"/>
    <w:rsid w:val="1DDE57D9"/>
    <w:rsid w:val="20D3715E"/>
    <w:rsid w:val="21500C08"/>
    <w:rsid w:val="241906BD"/>
    <w:rsid w:val="24B2466D"/>
    <w:rsid w:val="2536704D"/>
    <w:rsid w:val="25DB031E"/>
    <w:rsid w:val="28EE0A1D"/>
    <w:rsid w:val="2F2B74F6"/>
    <w:rsid w:val="30534F57"/>
    <w:rsid w:val="3392223A"/>
    <w:rsid w:val="38F8669B"/>
    <w:rsid w:val="3CBD0014"/>
    <w:rsid w:val="3D874491"/>
    <w:rsid w:val="3EB16D3E"/>
    <w:rsid w:val="426A2E36"/>
    <w:rsid w:val="438A6A89"/>
    <w:rsid w:val="45ED3300"/>
    <w:rsid w:val="48A34A9E"/>
    <w:rsid w:val="4ED6221D"/>
    <w:rsid w:val="50285660"/>
    <w:rsid w:val="513D15DF"/>
    <w:rsid w:val="53FA7E21"/>
    <w:rsid w:val="57D22D9F"/>
    <w:rsid w:val="58DA5965"/>
    <w:rsid w:val="5C245875"/>
    <w:rsid w:val="5ED36AC4"/>
    <w:rsid w:val="60935C61"/>
    <w:rsid w:val="618D5C6B"/>
    <w:rsid w:val="61B362BB"/>
    <w:rsid w:val="65C011B6"/>
    <w:rsid w:val="6CAD5413"/>
    <w:rsid w:val="6FD9207B"/>
    <w:rsid w:val="70B2124A"/>
    <w:rsid w:val="7304775A"/>
    <w:rsid w:val="77AD276B"/>
    <w:rsid w:val="7F1E5C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9"/>
    <w:pPr>
      <w:keepNext/>
      <w:jc w:val="center"/>
      <w:outlineLvl w:val="0"/>
    </w:pPr>
    <w:rPr>
      <w:rFonts w:ascii="楷体_GB2312" w:hAnsi="Times New Roman" w:eastAsia="楷体_GB2312" w:cs="Times New Roman"/>
      <w:b/>
      <w:kern w:val="0"/>
      <w:sz w:val="28"/>
      <w:szCs w:val="20"/>
    </w:rPr>
  </w:style>
  <w:style w:type="paragraph" w:styleId="3">
    <w:name w:val="heading 2"/>
    <w:basedOn w:val="1"/>
    <w:next w:val="1"/>
    <w:link w:val="41"/>
    <w:qFormat/>
    <w:uiPriority w:val="99"/>
    <w:pPr>
      <w:keepNext/>
      <w:jc w:val="center"/>
      <w:outlineLvl w:val="1"/>
    </w:pPr>
    <w:rPr>
      <w:rFonts w:ascii="楷体_GB2312" w:hAnsi="Times New Roman" w:eastAsia="楷体_GB2312" w:cs="Times New Roman"/>
      <w:b/>
      <w:bCs/>
      <w:kern w:val="0"/>
      <w:sz w:val="18"/>
      <w:szCs w:val="20"/>
    </w:rPr>
  </w:style>
  <w:style w:type="paragraph" w:styleId="4">
    <w:name w:val="heading 3"/>
    <w:basedOn w:val="1"/>
    <w:next w:val="1"/>
    <w:link w:val="42"/>
    <w:qFormat/>
    <w:uiPriority w:val="99"/>
    <w:pPr>
      <w:keepNext/>
      <w:jc w:val="center"/>
      <w:outlineLvl w:val="2"/>
    </w:pPr>
    <w:rPr>
      <w:rFonts w:ascii="Times New Roman" w:hAnsi="Times New Roman" w:eastAsia="楷体_GB2312" w:cs="Times New Roman"/>
      <w:b/>
      <w:bCs/>
      <w:kern w:val="0"/>
      <w:sz w:val="15"/>
      <w:szCs w:val="20"/>
    </w:rPr>
  </w:style>
  <w:style w:type="paragraph" w:styleId="5">
    <w:name w:val="heading 4"/>
    <w:basedOn w:val="1"/>
    <w:next w:val="1"/>
    <w:link w:val="43"/>
    <w:qFormat/>
    <w:uiPriority w:val="99"/>
    <w:pPr>
      <w:keepNext/>
      <w:jc w:val="center"/>
      <w:outlineLvl w:val="3"/>
    </w:pPr>
    <w:rPr>
      <w:rFonts w:ascii="Times New Roman" w:hAnsi="Times New Roman" w:eastAsia="楷体_GB2312" w:cs="Times New Roman"/>
      <w:b/>
      <w:bCs/>
      <w:kern w:val="0"/>
      <w:sz w:val="13"/>
      <w:szCs w:val="20"/>
    </w:rPr>
  </w:style>
  <w:style w:type="paragraph" w:styleId="6">
    <w:name w:val="heading 5"/>
    <w:basedOn w:val="1"/>
    <w:next w:val="1"/>
    <w:link w:val="44"/>
    <w:qFormat/>
    <w:uiPriority w:val="99"/>
    <w:pPr>
      <w:keepNext/>
      <w:numPr>
        <w:ilvl w:val="0"/>
        <w:numId w:val="1"/>
      </w:numPr>
      <w:outlineLvl w:val="4"/>
    </w:pPr>
    <w:rPr>
      <w:rFonts w:ascii="楷体_GB2312" w:hAnsi="Times New Roman" w:eastAsia="楷体_GB2312" w:cs="Times New Roman"/>
      <w:bCs/>
      <w:kern w:val="0"/>
      <w:sz w:val="28"/>
      <w:szCs w:val="20"/>
    </w:rPr>
  </w:style>
  <w:style w:type="paragraph" w:styleId="7">
    <w:name w:val="heading 6"/>
    <w:basedOn w:val="1"/>
    <w:next w:val="1"/>
    <w:link w:val="115"/>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3">
    <w:name w:val="Default Paragraph Font"/>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semiHidden/>
    <w:unhideWhenUsed/>
    <w:qFormat/>
    <w:uiPriority w:val="39"/>
    <w:pPr>
      <w:ind w:left="1260"/>
      <w:jc w:val="left"/>
    </w:pPr>
    <w:rPr>
      <w:sz w:val="20"/>
      <w:szCs w:val="20"/>
    </w:rPr>
  </w:style>
  <w:style w:type="paragraph" w:styleId="9">
    <w:name w:val="Normal Indent"/>
    <w:basedOn w:val="1"/>
    <w:link w:val="123"/>
    <w:qFormat/>
    <w:uiPriority w:val="0"/>
    <w:pPr>
      <w:ind w:firstLine="420"/>
    </w:pPr>
    <w:rPr>
      <w:rFonts w:ascii="Times New Roman" w:hAnsi="Times New Roman" w:eastAsia="宋体" w:cs="Times New Roman"/>
      <w:szCs w:val="20"/>
    </w:rPr>
  </w:style>
  <w:style w:type="paragraph" w:styleId="10">
    <w:name w:val="Document Map"/>
    <w:basedOn w:val="1"/>
    <w:link w:val="105"/>
    <w:semiHidden/>
    <w:qFormat/>
    <w:uiPriority w:val="99"/>
    <w:pPr>
      <w:shd w:val="clear" w:color="auto" w:fill="000080"/>
    </w:pPr>
    <w:rPr>
      <w:rFonts w:ascii="Times New Roman" w:hAnsi="Times New Roman" w:eastAsia="宋体" w:cs="Times New Roman"/>
      <w:kern w:val="0"/>
      <w:sz w:val="20"/>
      <w:szCs w:val="20"/>
    </w:rPr>
  </w:style>
  <w:style w:type="paragraph" w:styleId="11">
    <w:name w:val="annotation text"/>
    <w:basedOn w:val="1"/>
    <w:link w:val="112"/>
    <w:semiHidden/>
    <w:unhideWhenUsed/>
    <w:qFormat/>
    <w:uiPriority w:val="99"/>
    <w:pPr>
      <w:jc w:val="left"/>
    </w:pPr>
  </w:style>
  <w:style w:type="paragraph" w:styleId="12">
    <w:name w:val="Body Text"/>
    <w:basedOn w:val="1"/>
    <w:link w:val="49"/>
    <w:qFormat/>
    <w:uiPriority w:val="99"/>
    <w:rPr>
      <w:rFonts w:ascii="华文中宋" w:hAnsi="Times New Roman" w:eastAsia="华文中宋" w:cs="Times New Roman"/>
      <w:bCs/>
      <w:kern w:val="0"/>
      <w:sz w:val="28"/>
      <w:szCs w:val="20"/>
    </w:rPr>
  </w:style>
  <w:style w:type="paragraph" w:styleId="13">
    <w:name w:val="Body Text Indent"/>
    <w:basedOn w:val="1"/>
    <w:link w:val="46"/>
    <w:qFormat/>
    <w:uiPriority w:val="99"/>
    <w:pPr>
      <w:ind w:firstLine="576"/>
    </w:pPr>
    <w:rPr>
      <w:rFonts w:ascii="Times New Roman" w:hAnsi="Times New Roman" w:eastAsia="宋体" w:cs="Times New Roman"/>
      <w:b/>
      <w:kern w:val="0"/>
      <w:sz w:val="30"/>
      <w:szCs w:val="20"/>
    </w:rPr>
  </w:style>
  <w:style w:type="paragraph" w:styleId="14">
    <w:name w:val="toc 5"/>
    <w:basedOn w:val="1"/>
    <w:next w:val="1"/>
    <w:semiHidden/>
    <w:unhideWhenUsed/>
    <w:qFormat/>
    <w:uiPriority w:val="39"/>
    <w:pPr>
      <w:ind w:left="840"/>
      <w:jc w:val="left"/>
    </w:pPr>
    <w:rPr>
      <w:sz w:val="20"/>
      <w:szCs w:val="20"/>
    </w:rPr>
  </w:style>
  <w:style w:type="paragraph" w:styleId="15">
    <w:name w:val="toc 3"/>
    <w:basedOn w:val="1"/>
    <w:next w:val="1"/>
    <w:unhideWhenUsed/>
    <w:qFormat/>
    <w:uiPriority w:val="39"/>
    <w:pPr>
      <w:ind w:left="420"/>
      <w:jc w:val="left"/>
    </w:pPr>
    <w:rPr>
      <w:sz w:val="20"/>
      <w:szCs w:val="20"/>
    </w:rPr>
  </w:style>
  <w:style w:type="paragraph" w:styleId="16">
    <w:name w:val="toc 8"/>
    <w:basedOn w:val="1"/>
    <w:next w:val="1"/>
    <w:semiHidden/>
    <w:unhideWhenUsed/>
    <w:qFormat/>
    <w:uiPriority w:val="39"/>
    <w:pPr>
      <w:ind w:left="1470"/>
      <w:jc w:val="left"/>
    </w:pPr>
    <w:rPr>
      <w:sz w:val="20"/>
      <w:szCs w:val="20"/>
    </w:rPr>
  </w:style>
  <w:style w:type="paragraph" w:styleId="17">
    <w:name w:val="Date"/>
    <w:basedOn w:val="1"/>
    <w:next w:val="1"/>
    <w:link w:val="45"/>
    <w:qFormat/>
    <w:uiPriority w:val="0"/>
    <w:rPr>
      <w:rFonts w:ascii="Times New Roman" w:hAnsi="Times New Roman" w:eastAsia="黑体" w:cs="Times New Roman"/>
      <w:b/>
      <w:kern w:val="0"/>
      <w:sz w:val="36"/>
      <w:szCs w:val="20"/>
    </w:rPr>
  </w:style>
  <w:style w:type="paragraph" w:styleId="18">
    <w:name w:val="Body Text Indent 2"/>
    <w:basedOn w:val="1"/>
    <w:link w:val="50"/>
    <w:qFormat/>
    <w:uiPriority w:val="99"/>
    <w:pPr>
      <w:ind w:left="900"/>
    </w:pPr>
    <w:rPr>
      <w:rFonts w:ascii="楷体_GB2312" w:hAnsi="Times New Roman" w:eastAsia="楷体_GB2312" w:cs="Times New Roman"/>
      <w:b/>
      <w:kern w:val="0"/>
      <w:sz w:val="28"/>
      <w:szCs w:val="20"/>
    </w:rPr>
  </w:style>
  <w:style w:type="paragraph" w:styleId="19">
    <w:name w:val="Balloon Text"/>
    <w:basedOn w:val="1"/>
    <w:link w:val="111"/>
    <w:semiHidden/>
    <w:unhideWhenUsed/>
    <w:qFormat/>
    <w:uiPriority w:val="99"/>
    <w:rPr>
      <w:rFonts w:ascii="Times New Roman" w:hAnsi="Times New Roman" w:eastAsia="宋体" w:cs="Times New Roman"/>
      <w:sz w:val="18"/>
      <w:szCs w:val="18"/>
    </w:rPr>
  </w:style>
  <w:style w:type="paragraph" w:styleId="20">
    <w:name w:val="footer"/>
    <w:basedOn w:val="1"/>
    <w:link w:val="47"/>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paragraph" w:styleId="22">
    <w:name w:val="toc 1"/>
    <w:basedOn w:val="1"/>
    <w:next w:val="1"/>
    <w:unhideWhenUsed/>
    <w:qFormat/>
    <w:uiPriority w:val="39"/>
    <w:pPr>
      <w:tabs>
        <w:tab w:val="right" w:leader="dot" w:pos="9911"/>
      </w:tabs>
      <w:jc w:val="left"/>
    </w:pPr>
    <w:rPr>
      <w:rFonts w:eastAsia="黑体"/>
      <w:sz w:val="28"/>
      <w:szCs w:val="28"/>
    </w:rPr>
  </w:style>
  <w:style w:type="paragraph" w:styleId="23">
    <w:name w:val="toc 4"/>
    <w:basedOn w:val="1"/>
    <w:next w:val="1"/>
    <w:semiHidden/>
    <w:unhideWhenUsed/>
    <w:qFormat/>
    <w:uiPriority w:val="39"/>
    <w:pPr>
      <w:ind w:left="630"/>
      <w:jc w:val="left"/>
    </w:pPr>
    <w:rPr>
      <w:sz w:val="20"/>
      <w:szCs w:val="20"/>
    </w:rPr>
  </w:style>
  <w:style w:type="paragraph" w:styleId="24">
    <w:name w:val="toc 6"/>
    <w:basedOn w:val="1"/>
    <w:next w:val="1"/>
    <w:semiHidden/>
    <w:unhideWhenUsed/>
    <w:qFormat/>
    <w:uiPriority w:val="39"/>
    <w:pPr>
      <w:ind w:left="1050"/>
      <w:jc w:val="left"/>
    </w:pPr>
    <w:rPr>
      <w:sz w:val="20"/>
      <w:szCs w:val="20"/>
    </w:rPr>
  </w:style>
  <w:style w:type="paragraph" w:styleId="25">
    <w:name w:val="Body Text Indent 3"/>
    <w:basedOn w:val="1"/>
    <w:link w:val="51"/>
    <w:qFormat/>
    <w:uiPriority w:val="99"/>
    <w:pPr>
      <w:ind w:left="359" w:leftChars="171" w:firstLine="359" w:firstLineChars="171"/>
    </w:pPr>
    <w:rPr>
      <w:rFonts w:ascii="Times New Roman" w:hAnsi="Times New Roman" w:eastAsia="宋体" w:cs="Times New Roman"/>
      <w:kern w:val="0"/>
      <w:sz w:val="20"/>
      <w:szCs w:val="20"/>
    </w:rPr>
  </w:style>
  <w:style w:type="paragraph" w:styleId="26">
    <w:name w:val="toc 2"/>
    <w:basedOn w:val="1"/>
    <w:next w:val="1"/>
    <w:unhideWhenUsed/>
    <w:qFormat/>
    <w:uiPriority w:val="39"/>
    <w:pPr>
      <w:spacing w:before="120"/>
      <w:ind w:left="210"/>
      <w:jc w:val="left"/>
    </w:pPr>
    <w:rPr>
      <w:i/>
      <w:iCs/>
      <w:sz w:val="20"/>
      <w:szCs w:val="20"/>
    </w:rPr>
  </w:style>
  <w:style w:type="paragraph" w:styleId="27">
    <w:name w:val="toc 9"/>
    <w:basedOn w:val="1"/>
    <w:next w:val="1"/>
    <w:semiHidden/>
    <w:unhideWhenUsed/>
    <w:qFormat/>
    <w:uiPriority w:val="39"/>
    <w:pPr>
      <w:ind w:left="1680"/>
      <w:jc w:val="left"/>
    </w:pPr>
    <w:rPr>
      <w:sz w:val="20"/>
      <w:szCs w:val="20"/>
    </w:rPr>
  </w:style>
  <w:style w:type="paragraph" w:styleId="28">
    <w:name w:val="Body Text 2"/>
    <w:basedOn w:val="1"/>
    <w:link w:val="106"/>
    <w:qFormat/>
    <w:uiPriority w:val="99"/>
    <w:pPr>
      <w:spacing w:after="120" w:line="480" w:lineRule="auto"/>
    </w:pPr>
    <w:rPr>
      <w:rFonts w:ascii="Times New Roman" w:hAnsi="Times New Roman" w:eastAsia="宋体" w:cs="Times New Roman"/>
      <w:kern w:val="0"/>
      <w:sz w:val="20"/>
      <w:szCs w:val="20"/>
    </w:r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0">
    <w:name w:val="annotation subject"/>
    <w:basedOn w:val="11"/>
    <w:next w:val="11"/>
    <w:link w:val="113"/>
    <w:semiHidden/>
    <w:unhideWhenUsed/>
    <w:qFormat/>
    <w:uiPriority w:val="99"/>
    <w:rPr>
      <w:b/>
      <w:bCs/>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99"/>
    <w:rPr>
      <w:rFonts w:cs="Times New Roman"/>
      <w:b/>
      <w:bCs/>
    </w:rPr>
  </w:style>
  <w:style w:type="character" w:styleId="35">
    <w:name w:val="page number"/>
    <w:qFormat/>
    <w:uiPriority w:val="99"/>
    <w:rPr>
      <w:rFonts w:cs="Times New Roman"/>
    </w:rPr>
  </w:style>
  <w:style w:type="character" w:styleId="36">
    <w:name w:val="FollowedHyperlink"/>
    <w:semiHidden/>
    <w:unhideWhenUsed/>
    <w:qFormat/>
    <w:uiPriority w:val="99"/>
    <w:rPr>
      <w:color w:val="800080"/>
      <w:u w:val="single"/>
    </w:rPr>
  </w:style>
  <w:style w:type="character" w:styleId="37">
    <w:name w:val="HTML Typewriter"/>
    <w:qFormat/>
    <w:uiPriority w:val="99"/>
    <w:rPr>
      <w:rFonts w:ascii="宋体" w:hAnsi="宋体" w:eastAsia="宋体" w:cs="宋体"/>
      <w:sz w:val="24"/>
      <w:szCs w:val="24"/>
    </w:rPr>
  </w:style>
  <w:style w:type="character" w:styleId="38">
    <w:name w:val="Hyperlink"/>
    <w:qFormat/>
    <w:uiPriority w:val="99"/>
    <w:rPr>
      <w:rFonts w:cs="Times New Roman"/>
      <w:color w:val="auto"/>
      <w:u w:val="none"/>
    </w:rPr>
  </w:style>
  <w:style w:type="character" w:styleId="39">
    <w:name w:val="annotation reference"/>
    <w:basedOn w:val="33"/>
    <w:semiHidden/>
    <w:unhideWhenUsed/>
    <w:qFormat/>
    <w:uiPriority w:val="99"/>
    <w:rPr>
      <w:sz w:val="21"/>
      <w:szCs w:val="21"/>
    </w:rPr>
  </w:style>
  <w:style w:type="character" w:customStyle="1" w:styleId="40">
    <w:name w:val="标题 1 Char"/>
    <w:basedOn w:val="33"/>
    <w:link w:val="2"/>
    <w:qFormat/>
    <w:uiPriority w:val="99"/>
    <w:rPr>
      <w:rFonts w:ascii="楷体_GB2312" w:hAnsi="Times New Roman" w:eastAsia="楷体_GB2312" w:cs="Times New Roman"/>
      <w:b/>
      <w:kern w:val="0"/>
      <w:sz w:val="28"/>
      <w:szCs w:val="20"/>
    </w:rPr>
  </w:style>
  <w:style w:type="character" w:customStyle="1" w:styleId="41">
    <w:name w:val="标题 2 Char"/>
    <w:basedOn w:val="33"/>
    <w:link w:val="3"/>
    <w:qFormat/>
    <w:uiPriority w:val="99"/>
    <w:rPr>
      <w:rFonts w:ascii="楷体_GB2312" w:hAnsi="Times New Roman" w:eastAsia="楷体_GB2312" w:cs="Times New Roman"/>
      <w:b/>
      <w:bCs/>
      <w:kern w:val="0"/>
      <w:sz w:val="18"/>
      <w:szCs w:val="20"/>
    </w:rPr>
  </w:style>
  <w:style w:type="character" w:customStyle="1" w:styleId="42">
    <w:name w:val="标题 3 Char"/>
    <w:basedOn w:val="33"/>
    <w:link w:val="4"/>
    <w:qFormat/>
    <w:uiPriority w:val="99"/>
    <w:rPr>
      <w:rFonts w:ascii="Times New Roman" w:hAnsi="Times New Roman" w:eastAsia="楷体_GB2312" w:cs="Times New Roman"/>
      <w:b/>
      <w:bCs/>
      <w:kern w:val="0"/>
      <w:sz w:val="15"/>
      <w:szCs w:val="20"/>
    </w:rPr>
  </w:style>
  <w:style w:type="character" w:customStyle="1" w:styleId="43">
    <w:name w:val="标题 4 Char"/>
    <w:basedOn w:val="33"/>
    <w:link w:val="5"/>
    <w:qFormat/>
    <w:uiPriority w:val="99"/>
    <w:rPr>
      <w:rFonts w:ascii="Times New Roman" w:hAnsi="Times New Roman" w:eastAsia="楷体_GB2312" w:cs="Times New Roman"/>
      <w:b/>
      <w:bCs/>
      <w:kern w:val="0"/>
      <w:sz w:val="13"/>
      <w:szCs w:val="20"/>
    </w:rPr>
  </w:style>
  <w:style w:type="character" w:customStyle="1" w:styleId="44">
    <w:name w:val="标题 5 Char"/>
    <w:basedOn w:val="33"/>
    <w:link w:val="6"/>
    <w:qFormat/>
    <w:uiPriority w:val="99"/>
    <w:rPr>
      <w:rFonts w:ascii="楷体_GB2312" w:hAnsi="Times New Roman" w:eastAsia="楷体_GB2312" w:cs="Times New Roman"/>
      <w:bCs/>
      <w:sz w:val="28"/>
    </w:rPr>
  </w:style>
  <w:style w:type="character" w:customStyle="1" w:styleId="45">
    <w:name w:val="日期 Char"/>
    <w:basedOn w:val="33"/>
    <w:link w:val="17"/>
    <w:qFormat/>
    <w:uiPriority w:val="99"/>
    <w:rPr>
      <w:rFonts w:ascii="Times New Roman" w:hAnsi="Times New Roman" w:eastAsia="黑体" w:cs="Times New Roman"/>
      <w:b/>
      <w:kern w:val="0"/>
      <w:sz w:val="36"/>
      <w:szCs w:val="20"/>
    </w:rPr>
  </w:style>
  <w:style w:type="character" w:customStyle="1" w:styleId="46">
    <w:name w:val="正文文本缩进 Char"/>
    <w:basedOn w:val="33"/>
    <w:link w:val="13"/>
    <w:qFormat/>
    <w:uiPriority w:val="99"/>
    <w:rPr>
      <w:rFonts w:ascii="Times New Roman" w:hAnsi="Times New Roman" w:eastAsia="宋体" w:cs="Times New Roman"/>
      <w:b/>
      <w:kern w:val="0"/>
      <w:sz w:val="30"/>
      <w:szCs w:val="20"/>
    </w:rPr>
  </w:style>
  <w:style w:type="character" w:customStyle="1" w:styleId="47">
    <w:name w:val="页脚 Char"/>
    <w:basedOn w:val="33"/>
    <w:link w:val="20"/>
    <w:qFormat/>
    <w:uiPriority w:val="99"/>
    <w:rPr>
      <w:rFonts w:ascii="Times New Roman" w:hAnsi="Times New Roman" w:eastAsia="宋体" w:cs="Times New Roman"/>
      <w:kern w:val="0"/>
      <w:sz w:val="18"/>
      <w:szCs w:val="20"/>
    </w:rPr>
  </w:style>
  <w:style w:type="character" w:customStyle="1" w:styleId="48">
    <w:name w:val="页眉 Char"/>
    <w:basedOn w:val="33"/>
    <w:link w:val="21"/>
    <w:qFormat/>
    <w:uiPriority w:val="99"/>
    <w:rPr>
      <w:rFonts w:ascii="Times New Roman" w:hAnsi="Times New Roman" w:eastAsia="宋体" w:cs="Times New Roman"/>
      <w:kern w:val="0"/>
      <w:sz w:val="18"/>
      <w:szCs w:val="20"/>
    </w:rPr>
  </w:style>
  <w:style w:type="character" w:customStyle="1" w:styleId="49">
    <w:name w:val="正文文本 Char"/>
    <w:basedOn w:val="33"/>
    <w:link w:val="12"/>
    <w:qFormat/>
    <w:uiPriority w:val="99"/>
    <w:rPr>
      <w:rFonts w:ascii="华文中宋" w:hAnsi="Times New Roman" w:eastAsia="华文中宋" w:cs="Times New Roman"/>
      <w:bCs/>
      <w:kern w:val="0"/>
      <w:sz w:val="28"/>
      <w:szCs w:val="20"/>
    </w:rPr>
  </w:style>
  <w:style w:type="character" w:customStyle="1" w:styleId="50">
    <w:name w:val="正文文本缩进 2 Char"/>
    <w:basedOn w:val="33"/>
    <w:link w:val="18"/>
    <w:qFormat/>
    <w:uiPriority w:val="99"/>
    <w:rPr>
      <w:rFonts w:ascii="楷体_GB2312" w:hAnsi="Times New Roman" w:eastAsia="楷体_GB2312" w:cs="Times New Roman"/>
      <w:b/>
      <w:kern w:val="0"/>
      <w:sz w:val="28"/>
      <w:szCs w:val="20"/>
    </w:rPr>
  </w:style>
  <w:style w:type="character" w:customStyle="1" w:styleId="51">
    <w:name w:val="正文文本缩进 3 Char"/>
    <w:basedOn w:val="33"/>
    <w:link w:val="25"/>
    <w:qFormat/>
    <w:uiPriority w:val="99"/>
    <w:rPr>
      <w:rFonts w:ascii="Times New Roman" w:hAnsi="Times New Roman" w:eastAsia="宋体" w:cs="Times New Roman"/>
      <w:kern w:val="0"/>
      <w:sz w:val="20"/>
      <w:szCs w:val="20"/>
    </w:rPr>
  </w:style>
  <w:style w:type="paragraph" w:customStyle="1" w:styleId="52">
    <w:name w:val="font5"/>
    <w:basedOn w:val="1"/>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53">
    <w:name w:val="font6"/>
    <w:basedOn w:val="1"/>
    <w:qFormat/>
    <w:uiPriority w:val="99"/>
    <w:pPr>
      <w:widowControl/>
      <w:spacing w:before="100" w:beforeAutospacing="1" w:after="100" w:afterAutospacing="1"/>
      <w:jc w:val="left"/>
    </w:pPr>
    <w:rPr>
      <w:rFonts w:ascii="宋体" w:hAnsi="宋体" w:eastAsia="宋体" w:cs="Times New Roman"/>
      <w:b/>
      <w:bCs/>
      <w:kern w:val="0"/>
      <w:sz w:val="20"/>
      <w:szCs w:val="20"/>
    </w:rPr>
  </w:style>
  <w:style w:type="paragraph" w:customStyle="1" w:styleId="54">
    <w:name w:val="font7"/>
    <w:basedOn w:val="1"/>
    <w:qFormat/>
    <w:uiPriority w:val="99"/>
    <w:pPr>
      <w:widowControl/>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5">
    <w:name w:val="font8"/>
    <w:basedOn w:val="1"/>
    <w:qFormat/>
    <w:uiPriority w:val="99"/>
    <w:pPr>
      <w:widowControl/>
      <w:spacing w:before="100" w:beforeAutospacing="1" w:after="100" w:afterAutospacing="1"/>
      <w:jc w:val="left"/>
    </w:pPr>
    <w:rPr>
      <w:rFonts w:ascii="宋体" w:hAnsi="宋体" w:eastAsia="宋体" w:cs="Times New Roman"/>
      <w:b/>
      <w:bCs/>
      <w:i/>
      <w:iCs/>
      <w:kern w:val="0"/>
      <w:sz w:val="20"/>
      <w:szCs w:val="20"/>
    </w:rPr>
  </w:style>
  <w:style w:type="paragraph" w:customStyle="1" w:styleId="56">
    <w:name w:val="font9"/>
    <w:basedOn w:val="1"/>
    <w:qFormat/>
    <w:uiPriority w:val="99"/>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5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5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9">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0">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61">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2">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3">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6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Times New Roman"/>
      <w:b/>
      <w:bCs/>
      <w:kern w:val="0"/>
      <w:sz w:val="24"/>
      <w:szCs w:val="24"/>
    </w:rPr>
  </w:style>
  <w:style w:type="paragraph" w:customStyle="1" w:styleId="65">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67">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8">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i/>
      <w:iCs/>
      <w:kern w:val="0"/>
      <w:sz w:val="20"/>
      <w:szCs w:val="20"/>
    </w:rPr>
  </w:style>
  <w:style w:type="paragraph" w:customStyle="1" w:styleId="69">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0"/>
      <w:szCs w:val="20"/>
    </w:rPr>
  </w:style>
  <w:style w:type="paragraph" w:customStyle="1" w:styleId="70">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i/>
      <w:iCs/>
      <w:kern w:val="0"/>
      <w:sz w:val="20"/>
      <w:szCs w:val="20"/>
    </w:rPr>
  </w:style>
  <w:style w:type="paragraph" w:customStyle="1" w:styleId="71">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2">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73">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74">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5">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76">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7">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8">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9">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0">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1">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2">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3">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4">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5">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6">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7">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88">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9">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0">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1">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2">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3">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4">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5">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6">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7">
    <w:name w:val="font10"/>
    <w:basedOn w:val="1"/>
    <w:qFormat/>
    <w:uiPriority w:val="99"/>
    <w:pPr>
      <w:widowControl/>
      <w:spacing w:before="100" w:beforeAutospacing="1" w:after="100" w:afterAutospacing="1"/>
      <w:jc w:val="left"/>
    </w:pPr>
    <w:rPr>
      <w:rFonts w:ascii="楷体_GB2312" w:hAnsi="宋体" w:eastAsia="楷体_GB2312" w:cs="Times New Roman"/>
      <w:b/>
      <w:bCs/>
      <w:kern w:val="0"/>
      <w:sz w:val="18"/>
      <w:szCs w:val="18"/>
    </w:rPr>
  </w:style>
  <w:style w:type="paragraph" w:customStyle="1" w:styleId="98">
    <w:name w:val="font11"/>
    <w:basedOn w:val="1"/>
    <w:qFormat/>
    <w:uiPriority w:val="99"/>
    <w:pPr>
      <w:widowControl/>
      <w:spacing w:before="100" w:beforeAutospacing="1" w:after="100" w:afterAutospacing="1"/>
      <w:jc w:val="left"/>
    </w:pPr>
    <w:rPr>
      <w:rFonts w:ascii="Times New Roman" w:hAnsi="Times New Roman" w:eastAsia="宋体" w:cs="Times New Roman"/>
      <w:b/>
      <w:bCs/>
      <w:kern w:val="0"/>
      <w:sz w:val="18"/>
      <w:szCs w:val="18"/>
    </w:rPr>
  </w:style>
  <w:style w:type="paragraph" w:customStyle="1" w:styleId="99">
    <w:name w:val="font12"/>
    <w:basedOn w:val="1"/>
    <w:qFormat/>
    <w:uiPriority w:val="99"/>
    <w:pPr>
      <w:widowControl/>
      <w:spacing w:before="100" w:beforeAutospacing="1" w:after="100" w:afterAutospacing="1"/>
      <w:jc w:val="left"/>
    </w:pPr>
    <w:rPr>
      <w:rFonts w:ascii="宋体" w:hAnsi="宋体" w:eastAsia="宋体" w:cs="Times New Roman"/>
      <w:kern w:val="0"/>
      <w:sz w:val="36"/>
      <w:szCs w:val="36"/>
    </w:rPr>
  </w:style>
  <w:style w:type="paragraph" w:customStyle="1" w:styleId="100">
    <w:name w:val="font13"/>
    <w:basedOn w:val="1"/>
    <w:qFormat/>
    <w:uiPriority w:val="99"/>
    <w:pPr>
      <w:widowControl/>
      <w:spacing w:before="100" w:beforeAutospacing="1" w:after="100" w:afterAutospacing="1"/>
      <w:jc w:val="left"/>
    </w:pPr>
    <w:rPr>
      <w:rFonts w:ascii="Times New Roman" w:hAnsi="Times New Roman" w:eastAsia="宋体" w:cs="Times New Roman"/>
      <w:i/>
      <w:iCs/>
      <w:kern w:val="0"/>
      <w:sz w:val="36"/>
      <w:szCs w:val="36"/>
    </w:rPr>
  </w:style>
  <w:style w:type="paragraph" w:customStyle="1" w:styleId="101">
    <w:name w:val="font14"/>
    <w:basedOn w:val="1"/>
    <w:qFormat/>
    <w:uiPriority w:val="99"/>
    <w:pPr>
      <w:widowControl/>
      <w:spacing w:before="100" w:beforeAutospacing="1" w:after="100" w:afterAutospacing="1"/>
      <w:jc w:val="left"/>
    </w:pPr>
    <w:rPr>
      <w:rFonts w:ascii="Times New Roman" w:hAnsi="Times New Roman" w:eastAsia="宋体" w:cs="Times New Roman"/>
      <w:kern w:val="0"/>
      <w:sz w:val="36"/>
      <w:szCs w:val="36"/>
    </w:rPr>
  </w:style>
  <w:style w:type="character" w:customStyle="1" w:styleId="102">
    <w:name w:val="case31"/>
    <w:qFormat/>
    <w:uiPriority w:val="99"/>
    <w:rPr>
      <w:rFonts w:cs="Times New Roman"/>
      <w:spacing w:val="390"/>
      <w:sz w:val="21"/>
      <w:szCs w:val="21"/>
    </w:rPr>
  </w:style>
  <w:style w:type="paragraph" w:customStyle="1" w:styleId="103">
    <w:name w:val="普通文字"/>
    <w:basedOn w:val="1"/>
    <w:next w:val="1"/>
    <w:qFormat/>
    <w:uiPriority w:val="99"/>
    <w:rPr>
      <w:rFonts w:ascii="宋体" w:hAnsi="Times New Roman" w:eastAsia="宋体" w:cs="Times New Roman"/>
      <w:kern w:val="0"/>
      <w:sz w:val="24"/>
      <w:szCs w:val="20"/>
      <w:u w:color="000000"/>
    </w:rPr>
  </w:style>
  <w:style w:type="paragraph" w:customStyle="1" w:styleId="104">
    <w:name w:val="默认段落字体 Para Char"/>
    <w:basedOn w:val="1"/>
    <w:qFormat/>
    <w:uiPriority w:val="99"/>
    <w:pPr>
      <w:tabs>
        <w:tab w:val="left" w:pos="552"/>
      </w:tabs>
      <w:ind w:left="552" w:hanging="420"/>
    </w:pPr>
    <w:rPr>
      <w:rFonts w:ascii="Times New Roman" w:hAnsi="Times New Roman" w:eastAsia="宋体" w:cs="Times New Roman"/>
      <w:sz w:val="24"/>
      <w:szCs w:val="24"/>
    </w:rPr>
  </w:style>
  <w:style w:type="character" w:customStyle="1" w:styleId="105">
    <w:name w:val="文档结构图 Char"/>
    <w:basedOn w:val="33"/>
    <w:link w:val="10"/>
    <w:semiHidden/>
    <w:qFormat/>
    <w:uiPriority w:val="99"/>
    <w:rPr>
      <w:rFonts w:ascii="Times New Roman" w:hAnsi="Times New Roman" w:eastAsia="宋体" w:cs="Times New Roman"/>
      <w:kern w:val="0"/>
      <w:sz w:val="20"/>
      <w:szCs w:val="20"/>
      <w:shd w:val="clear" w:color="auto" w:fill="000080"/>
    </w:rPr>
  </w:style>
  <w:style w:type="character" w:customStyle="1" w:styleId="106">
    <w:name w:val="正文文本 2 Char"/>
    <w:basedOn w:val="33"/>
    <w:link w:val="28"/>
    <w:qFormat/>
    <w:uiPriority w:val="99"/>
    <w:rPr>
      <w:rFonts w:ascii="Times New Roman" w:hAnsi="Times New Roman" w:eastAsia="宋体" w:cs="Times New Roman"/>
      <w:kern w:val="0"/>
      <w:sz w:val="20"/>
      <w:szCs w:val="20"/>
    </w:rPr>
  </w:style>
  <w:style w:type="paragraph" w:customStyle="1" w:styleId="107">
    <w:name w:val="Char Char Char Char"/>
    <w:basedOn w:val="10"/>
    <w:qFormat/>
    <w:uiPriority w:val="99"/>
    <w:pPr>
      <w:adjustRightInd w:val="0"/>
      <w:snapToGrid w:val="0"/>
      <w:spacing w:line="360" w:lineRule="auto"/>
    </w:pPr>
    <w:rPr>
      <w:rFonts w:ascii="Tahoma" w:hAnsi="Tahoma"/>
      <w:sz w:val="24"/>
      <w:szCs w:val="24"/>
    </w:rPr>
  </w:style>
  <w:style w:type="paragraph" w:customStyle="1" w:styleId="108">
    <w:name w:val="Char Char1 Char Char Char Char"/>
    <w:basedOn w:val="10"/>
    <w:qFormat/>
    <w:uiPriority w:val="99"/>
    <w:pPr>
      <w:adjustRightInd w:val="0"/>
      <w:spacing w:line="436" w:lineRule="exact"/>
      <w:ind w:left="357"/>
      <w:jc w:val="left"/>
      <w:outlineLvl w:val="3"/>
    </w:pPr>
    <w:rPr>
      <w:rFonts w:ascii="Tahoma" w:hAnsi="Tahoma"/>
      <w:b/>
      <w:sz w:val="24"/>
      <w:szCs w:val="24"/>
    </w:rPr>
  </w:style>
  <w:style w:type="paragraph" w:styleId="109">
    <w:name w:val="List Paragraph"/>
    <w:basedOn w:val="1"/>
    <w:qFormat/>
    <w:uiPriority w:val="99"/>
    <w:pPr>
      <w:ind w:firstLine="420" w:firstLineChars="200"/>
    </w:pPr>
    <w:rPr>
      <w:rFonts w:ascii="Times New Roman" w:hAnsi="Times New Roman" w:eastAsia="宋体" w:cs="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character" w:customStyle="1" w:styleId="111">
    <w:name w:val="批注框文本 Char"/>
    <w:basedOn w:val="33"/>
    <w:link w:val="19"/>
    <w:semiHidden/>
    <w:qFormat/>
    <w:uiPriority w:val="99"/>
    <w:rPr>
      <w:rFonts w:ascii="Times New Roman" w:hAnsi="Times New Roman" w:eastAsia="宋体" w:cs="Times New Roman"/>
      <w:sz w:val="18"/>
      <w:szCs w:val="18"/>
    </w:rPr>
  </w:style>
  <w:style w:type="character" w:customStyle="1" w:styleId="112">
    <w:name w:val="批注文字 Char"/>
    <w:basedOn w:val="33"/>
    <w:link w:val="11"/>
    <w:semiHidden/>
    <w:qFormat/>
    <w:uiPriority w:val="99"/>
  </w:style>
  <w:style w:type="character" w:customStyle="1" w:styleId="113">
    <w:name w:val="批注主题 Char"/>
    <w:basedOn w:val="112"/>
    <w:link w:val="30"/>
    <w:semiHidden/>
    <w:qFormat/>
    <w:uiPriority w:val="99"/>
    <w:rPr>
      <w:b/>
      <w:bCs/>
    </w:rPr>
  </w:style>
  <w:style w:type="paragraph" w:customStyle="1" w:styleId="114">
    <w:name w:val="列表段落1"/>
    <w:basedOn w:val="1"/>
    <w:qFormat/>
    <w:uiPriority w:val="99"/>
    <w:pPr>
      <w:ind w:firstLine="420" w:firstLineChars="200"/>
    </w:pPr>
    <w:rPr>
      <w:rFonts w:ascii="Times New Roman" w:hAnsi="Times New Roman" w:eastAsia="宋体" w:cs="Times New Roman"/>
      <w:szCs w:val="21"/>
    </w:rPr>
  </w:style>
  <w:style w:type="character" w:customStyle="1" w:styleId="115">
    <w:name w:val="标题 6 Char"/>
    <w:basedOn w:val="33"/>
    <w:link w:val="7"/>
    <w:qFormat/>
    <w:uiPriority w:val="9"/>
    <w:rPr>
      <w:rFonts w:asciiTheme="majorHAnsi" w:hAnsiTheme="majorHAnsi" w:eastAsiaTheme="majorEastAsia" w:cstheme="majorBidi"/>
      <w:b/>
      <w:bCs/>
      <w:kern w:val="2"/>
      <w:sz w:val="24"/>
      <w:szCs w:val="24"/>
    </w:rPr>
  </w:style>
  <w:style w:type="paragraph" w:customStyle="1" w:styleId="116">
    <w:name w:val="TOC 标题1"/>
    <w:basedOn w:val="2"/>
    <w:next w:val="1"/>
    <w:unhideWhenUsed/>
    <w:qFormat/>
    <w:uiPriority w:val="39"/>
    <w:pPr>
      <w:keepLines/>
      <w:widowControl/>
      <w:spacing w:before="480" w:line="276" w:lineRule="auto"/>
      <w:jc w:val="left"/>
      <w:outlineLvl w:val="9"/>
    </w:pPr>
    <w:rPr>
      <w:rFonts w:asciiTheme="majorHAnsi" w:hAnsiTheme="majorHAnsi" w:eastAsiaTheme="majorEastAsia" w:cstheme="majorBidi"/>
      <w:bCs/>
      <w:color w:val="366091" w:themeColor="accent1" w:themeShade="BF"/>
      <w:szCs w:val="28"/>
    </w:rPr>
  </w:style>
  <w:style w:type="paragraph" w:customStyle="1" w:styleId="1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18">
    <w:name w:val="Í¼±íÕýÎÄ"/>
    <w:basedOn w:val="1"/>
    <w:next w:val="9"/>
    <w:qFormat/>
    <w:uiPriority w:val="0"/>
    <w:pPr>
      <w:ind w:firstLine="420" w:firstLineChars="200"/>
    </w:pPr>
    <w:rPr>
      <w:rFonts w:ascii="Times New Roman" w:hAnsi="Times New Roman" w:eastAsia="宋体" w:cs="Times New Roman"/>
      <w:sz w:val="24"/>
      <w:szCs w:val="20"/>
    </w:rPr>
  </w:style>
  <w:style w:type="character" w:customStyle="1" w:styleId="119">
    <w:name w:val="未处理的提及1"/>
    <w:basedOn w:val="33"/>
    <w:semiHidden/>
    <w:unhideWhenUsed/>
    <w:qFormat/>
    <w:uiPriority w:val="99"/>
    <w:rPr>
      <w:color w:val="605E5C"/>
      <w:shd w:val="clear" w:color="auto" w:fill="E1DFDD"/>
    </w:rPr>
  </w:style>
  <w:style w:type="paragraph" w:customStyle="1" w:styleId="120">
    <w:name w:val="标题2"/>
    <w:basedOn w:val="3"/>
    <w:next w:val="1"/>
    <w:qFormat/>
    <w:uiPriority w:val="0"/>
    <w:pPr>
      <w:spacing w:line="360" w:lineRule="auto"/>
    </w:pPr>
    <w:rPr>
      <w:rFonts w:ascii="黑体" w:hAnsi="黑体" w:eastAsia="黑体"/>
      <w:b w:val="0"/>
      <w:sz w:val="32"/>
      <w:szCs w:val="32"/>
    </w:rPr>
  </w:style>
  <w:style w:type="paragraph" w:customStyle="1" w:styleId="121">
    <w:name w:val="标题1"/>
    <w:basedOn w:val="2"/>
    <w:next w:val="1"/>
    <w:qFormat/>
    <w:uiPriority w:val="0"/>
    <w:pPr>
      <w:spacing w:line="360" w:lineRule="auto"/>
    </w:pPr>
    <w:rPr>
      <w:rFonts w:ascii="黑体" w:hAnsi="黑体" w:eastAsia="黑体"/>
      <w:b w:val="0"/>
      <w:bCs/>
      <w:szCs w:val="28"/>
    </w:rPr>
  </w:style>
  <w:style w:type="paragraph" w:customStyle="1" w:styleId="122">
    <w:name w:val="标题1-1"/>
    <w:basedOn w:val="2"/>
    <w:next w:val="1"/>
    <w:qFormat/>
    <w:uiPriority w:val="0"/>
    <w:pPr>
      <w:jc w:val="left"/>
    </w:pPr>
    <w:rPr>
      <w:rFonts w:ascii="黑体" w:hAnsi="宋体" w:eastAsia="黑体"/>
      <w:b w:val="0"/>
      <w:bCs/>
      <w:color w:val="000000" w:themeColor="text1"/>
      <w:sz w:val="24"/>
      <w:szCs w:val="24"/>
    </w:rPr>
  </w:style>
  <w:style w:type="character" w:customStyle="1" w:styleId="123">
    <w:name w:val="正文缩进 Char"/>
    <w:link w:val="9"/>
    <w:qFormat/>
    <w:uiPriority w:val="0"/>
    <w:rPr>
      <w:rFonts w:ascii="Times New Roman" w:hAnsi="Times New Roman" w:eastAsia="宋体" w:cs="Times New Roman"/>
      <w:kern w:val="2"/>
      <w:sz w:val="21"/>
    </w:rPr>
  </w:style>
  <w:style w:type="table" w:customStyle="1" w:styleId="124">
    <w:name w:val="网格型浅色1"/>
    <w:basedOn w:val="3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25">
    <w:name w:val="正文缩进1"/>
    <w:basedOn w:val="1"/>
    <w:qFormat/>
    <w:uiPriority w:val="0"/>
    <w:pPr>
      <w:autoSpaceDE w:val="0"/>
      <w:autoSpaceDN w:val="0"/>
      <w:adjustRightInd w:val="0"/>
      <w:ind w:firstLine="420"/>
      <w:jc w:val="left"/>
    </w:pPr>
    <w:rPr>
      <w:rFonts w:ascii="宋体"/>
      <w:sz w:val="24"/>
    </w:rPr>
  </w:style>
  <w:style w:type="paragraph" w:customStyle="1" w:styleId="126">
    <w:name w:val="索引 11"/>
    <w:basedOn w:val="1"/>
    <w:next w:val="1"/>
    <w:qFormat/>
    <w:uiPriority w:val="0"/>
    <w:pPr>
      <w:spacing w:line="360" w:lineRule="auto"/>
    </w:pPr>
    <w:rPr>
      <w:rFonts w:ascii="仿宋_GB2312" w:hAnsi="Times New Roman" w:eastAsia="仿宋_GB2312" w:cs="Times New Roman"/>
      <w:sz w:val="24"/>
      <w:szCs w:val="20"/>
    </w:rPr>
  </w:style>
  <w:style w:type="table" w:customStyle="1" w:styleId="127">
    <w:name w:val="网格型1"/>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
    <w:name w:val="Grid Table Light1"/>
    <w:basedOn w:val="3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29">
    <w:name w:val="Char"/>
    <w:basedOn w:val="1"/>
    <w:qFormat/>
    <w:uiPriority w:val="0"/>
    <w:pPr>
      <w:tabs>
        <w:tab w:val="left" w:pos="360"/>
      </w:tabs>
      <w:ind w:firstLine="561"/>
      <w:jc w:val="center"/>
    </w:pPr>
    <w:rPr>
      <w:rFonts w:ascii="黑体" w:hAnsi="黑体" w:eastAsia="黑体" w:cs="Times New Roman"/>
      <w:sz w:val="28"/>
      <w:szCs w:val="28"/>
    </w:rPr>
  </w:style>
  <w:style w:type="character" w:customStyle="1" w:styleId="130">
    <w:name w:val="日期 字符1"/>
    <w:qFormat/>
    <w:locked/>
    <w:uiPriority w:val="0"/>
    <w:rPr>
      <w:kern w:val="2"/>
      <w:sz w:val="24"/>
    </w:rPr>
  </w:style>
  <w:style w:type="paragraph" w:customStyle="1" w:styleId="13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32">
    <w:name w:val="列出段落1"/>
    <w:basedOn w:val="1"/>
    <w:qFormat/>
    <w:uiPriority w:val="0"/>
    <w:pPr>
      <w:widowControl/>
      <w:ind w:left="720"/>
      <w:contextualSpacing/>
      <w:jc w:val="left"/>
    </w:pPr>
    <w:rPr>
      <w:rFonts w:ascii="Calibri" w:hAnsi="Calibri" w:eastAsia="宋体" w:cs="Calibri"/>
      <w:kern w:val="0"/>
      <w:sz w:val="24"/>
      <w:szCs w:val="24"/>
      <w:lang w:eastAsia="en-US" w:bidi="en-US"/>
    </w:rPr>
  </w:style>
  <w:style w:type="paragraph" w:customStyle="1" w:styleId="133">
    <w:name w:val="纯文本1"/>
    <w:basedOn w:val="1"/>
    <w:qFormat/>
    <w:uiPriority w:val="0"/>
    <w:rPr>
      <w:rFonts w:ascii="宋体" w:hAnsi="Courier New" w:eastAsia="宋体" w:cs="Times New Roman"/>
      <w:kern w:val="0"/>
      <w:sz w:val="20"/>
      <w:szCs w:val="20"/>
    </w:rPr>
  </w:style>
  <w:style w:type="paragraph" w:customStyle="1" w:styleId="134">
    <w:name w:val="Default"/>
    <w:qFormat/>
    <w:uiPriority w:val="99"/>
    <w:pPr>
      <w:widowControl w:val="0"/>
      <w:autoSpaceDE w:val="0"/>
      <w:autoSpaceDN w:val="0"/>
      <w:adjustRightInd w:val="0"/>
    </w:pPr>
    <w:rPr>
      <w:rFonts w:ascii="仿宋" w:hAnsi="等线"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9CDEE-4FBE-4EC0-8E59-980F652FBD1D}">
  <ds:schemaRefs/>
</ds:datastoreItem>
</file>

<file path=docProps/app.xml><?xml version="1.0" encoding="utf-8"?>
<Properties xmlns="http://schemas.openxmlformats.org/officeDocument/2006/extended-properties" xmlns:vt="http://schemas.openxmlformats.org/officeDocument/2006/docPropsVTypes">
  <Template>Normal</Template>
  <Company>LenovoCop</Company>
  <Pages>39</Pages>
  <Words>15622</Words>
  <Characters>16506</Characters>
  <Lines>136</Lines>
  <Paragraphs>38</Paragraphs>
  <TotalTime>3</TotalTime>
  <ScaleCrop>false</ScaleCrop>
  <LinksUpToDate>false</LinksUpToDate>
  <CharactersWithSpaces>17636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2020-11-17T01:25:00Z</dcterms:created>
  <dc:creator>黄炜</dc:creator>
  <cp:lastModifiedBy>中采-熊萍</cp:lastModifiedBy>
  <cp:lastPrinted>2020-11-09T11:25:00Z</cp:lastPrinted>
  <dcterms:modified xsi:type="dcterms:W3CDTF">2023-01-13T06:02:19Z</dcterms:modified>
  <cp:revision>320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8D944FB0F75747F9AE751A4A1AFF9919</vt:lpwstr>
  </property>
</Properties>
</file>