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snapToGrid w:val="0"/>
        <w:spacing w:line="360" w:lineRule="auto"/>
        <w:jc w:val="center"/>
        <w:rPr>
          <w:rFonts w:ascii="黑体" w:hAnsi="黑体" w:eastAsia="黑体"/>
          <w:b/>
          <w:spacing w:val="170"/>
          <w:sz w:val="84"/>
          <w:szCs w:val="84"/>
        </w:rPr>
      </w:pPr>
      <w:r>
        <w:rPr>
          <w:rFonts w:hint="eastAsia" w:ascii="黑体" w:hAnsi="黑体" w:eastAsia="黑体" w:cs="黑体"/>
          <w:b/>
          <w:spacing w:val="170"/>
          <w:kern w:val="0"/>
          <w:sz w:val="84"/>
          <w:szCs w:val="84"/>
        </w:rPr>
        <w:t>采购</w:t>
      </w:r>
      <w:r>
        <w:rPr>
          <w:rFonts w:hint="eastAsia" w:ascii="黑体" w:hAnsi="黑体" w:eastAsia="黑体"/>
          <w:b/>
          <w:spacing w:val="170"/>
          <w:sz w:val="84"/>
          <w:szCs w:val="84"/>
        </w:rPr>
        <w:t>文件</w:t>
      </w:r>
    </w:p>
    <w:p>
      <w:pPr>
        <w:jc w:val="center"/>
        <w:rPr>
          <w:rFonts w:ascii="华文中宋" w:hAnsi="华文中宋" w:eastAsia="华文中宋"/>
          <w:bCs/>
          <w:color w:val="000000" w:themeColor="text1"/>
          <w:sz w:val="30"/>
        </w:rPr>
      </w:pPr>
      <w:r>
        <w:rPr>
          <w:rFonts w:hint="eastAsia" w:ascii="华文中宋" w:hAnsi="华文中宋" w:eastAsia="华文中宋"/>
          <w:bCs/>
          <w:color w:val="000000" w:themeColor="text1"/>
          <w:sz w:val="30"/>
        </w:rPr>
        <w:t>（服务类）</w:t>
      </w:r>
    </w:p>
    <w:p>
      <w:pPr>
        <w:rPr>
          <w:rFonts w:ascii="华文中宋" w:hAnsi="华文中宋" w:eastAsia="华文中宋"/>
          <w:bCs/>
          <w:color w:val="000000" w:themeColor="text1"/>
          <w:sz w:val="30"/>
        </w:rPr>
      </w:pPr>
    </w:p>
    <w:p>
      <w:pPr>
        <w:jc w:val="left"/>
        <w:rPr>
          <w:rFonts w:ascii="黑体" w:hAnsi="华文中宋" w:eastAsia="黑体"/>
          <w:bCs/>
          <w:color w:val="000000" w:themeColor="text1"/>
          <w:spacing w:val="20"/>
          <w:w w:val="90"/>
          <w:sz w:val="48"/>
          <w:szCs w:val="48"/>
        </w:rPr>
      </w:pPr>
    </w:p>
    <w:p>
      <w:pPr>
        <w:jc w:val="left"/>
        <w:rPr>
          <w:rFonts w:ascii="黑体" w:hAnsi="华文中宋" w:eastAsia="黑体"/>
          <w:bCs/>
          <w:color w:val="000000" w:themeColor="text1"/>
          <w:spacing w:val="20"/>
          <w:w w:val="90"/>
          <w:sz w:val="48"/>
          <w:szCs w:val="48"/>
        </w:rPr>
      </w:pPr>
    </w:p>
    <w:p>
      <w:pPr>
        <w:jc w:val="left"/>
        <w:rPr>
          <w:rFonts w:ascii="华文中宋" w:hAnsi="华文中宋" w:eastAsia="华文中宋"/>
          <w:bCs/>
          <w:sz w:val="30"/>
        </w:rPr>
      </w:pPr>
    </w:p>
    <w:p>
      <w:pPr>
        <w:jc w:val="left"/>
        <w:rPr>
          <w:rFonts w:ascii="华文中宋" w:hAnsi="华文中宋" w:eastAsia="华文中宋"/>
          <w:bCs/>
          <w:sz w:val="30"/>
        </w:rPr>
      </w:pPr>
    </w:p>
    <w:p>
      <w:pPr>
        <w:spacing w:line="360" w:lineRule="auto"/>
        <w:ind w:firstLine="560" w:firstLineChars="200"/>
        <w:rPr>
          <w:rFonts w:ascii="黑体" w:hAnsi="华文中宋" w:eastAsia="黑体"/>
          <w:bCs/>
          <w:sz w:val="28"/>
          <w:szCs w:val="30"/>
        </w:rPr>
      </w:pPr>
      <w:r>
        <w:rPr>
          <w:rFonts w:hint="eastAsia" w:ascii="黑体" w:hAnsi="华文中宋" w:eastAsia="黑体"/>
          <w:bCs/>
          <w:sz w:val="28"/>
          <w:szCs w:val="30"/>
        </w:rPr>
        <w:t>采购项目编号：JSRHJC2023001</w:t>
      </w:r>
    </w:p>
    <w:p>
      <w:pPr>
        <w:spacing w:line="360" w:lineRule="auto"/>
        <w:ind w:firstLine="560" w:firstLineChars="200"/>
        <w:jc w:val="left"/>
        <w:rPr>
          <w:rFonts w:ascii="黑体" w:hAnsi="华文中宋" w:eastAsia="黑体"/>
          <w:bCs/>
          <w:sz w:val="28"/>
          <w:szCs w:val="30"/>
        </w:rPr>
      </w:pPr>
      <w:r>
        <w:rPr>
          <w:rFonts w:hint="eastAsia" w:ascii="黑体" w:hAnsi="华文中宋" w:eastAsia="黑体"/>
          <w:bCs/>
          <w:sz w:val="28"/>
          <w:szCs w:val="30"/>
        </w:rPr>
        <w:t>采购项目名称：</w:t>
      </w:r>
      <w:bookmarkStart w:id="68" w:name="_GoBack"/>
      <w:r>
        <w:rPr>
          <w:rFonts w:hint="eastAsia" w:ascii="黑体" w:hAnsi="华文中宋" w:eastAsia="黑体"/>
          <w:bCs/>
          <w:sz w:val="28"/>
          <w:szCs w:val="30"/>
        </w:rPr>
        <w:t>S239湟里收费站大棚拆除及路面恢复工程勘察设计项目</w:t>
      </w:r>
      <w:bookmarkEnd w:id="68"/>
      <w:r>
        <w:rPr>
          <w:rFonts w:hint="eastAsia" w:ascii="黑体" w:hAnsi="华文中宋" w:eastAsia="黑体"/>
          <w:bCs/>
          <w:sz w:val="28"/>
          <w:szCs w:val="30"/>
        </w:rPr>
        <w:t xml:space="preserve"> </w:t>
      </w:r>
    </w:p>
    <w:p>
      <w:pPr>
        <w:spacing w:line="360" w:lineRule="auto"/>
        <w:ind w:firstLine="560" w:firstLineChars="200"/>
        <w:jc w:val="left"/>
        <w:rPr>
          <w:rFonts w:ascii="黑体" w:hAnsi="华文中宋" w:eastAsia="黑体"/>
          <w:bCs/>
          <w:sz w:val="28"/>
          <w:szCs w:val="30"/>
        </w:rPr>
      </w:pPr>
      <w:r>
        <w:rPr>
          <w:rFonts w:hint="eastAsia" w:ascii="黑体" w:hAnsi="华文中宋" w:eastAsia="黑体"/>
          <w:bCs/>
          <w:sz w:val="28"/>
          <w:szCs w:val="30"/>
        </w:rPr>
        <w:t>采   购   人：常州市公路事业发展中心</w:t>
      </w:r>
    </w:p>
    <w:p>
      <w:pPr>
        <w:spacing w:line="360" w:lineRule="auto"/>
        <w:ind w:firstLine="560" w:firstLineChars="200"/>
        <w:jc w:val="left"/>
        <w:rPr>
          <w:rFonts w:ascii="黑体" w:hAnsi="华文中宋" w:eastAsia="黑体"/>
          <w:bCs/>
          <w:sz w:val="28"/>
          <w:szCs w:val="30"/>
        </w:rPr>
      </w:pPr>
      <w:r>
        <w:rPr>
          <w:rFonts w:hint="eastAsia" w:ascii="黑体" w:hAnsi="华文中宋" w:eastAsia="黑体"/>
          <w:bCs/>
          <w:sz w:val="28"/>
          <w:szCs w:val="30"/>
        </w:rPr>
        <w:t>采购代理机构：江苏仁禾中衡工程咨询房地产估价有限公司</w:t>
      </w:r>
    </w:p>
    <w:p>
      <w:pPr>
        <w:rPr>
          <w:rFonts w:ascii="华文中宋" w:hAnsi="华文中宋" w:eastAsia="华文中宋"/>
          <w:bCs/>
          <w:color w:val="000000" w:themeColor="text1"/>
          <w:sz w:val="32"/>
        </w:rPr>
      </w:pPr>
    </w:p>
    <w:p>
      <w:pPr>
        <w:rPr>
          <w:rFonts w:ascii="华文中宋" w:hAnsi="华文中宋" w:eastAsia="华文中宋"/>
          <w:bCs/>
          <w:color w:val="000000" w:themeColor="text1"/>
          <w:sz w:val="30"/>
        </w:rPr>
      </w:pPr>
    </w:p>
    <w:p>
      <w:pPr>
        <w:rPr>
          <w:rFonts w:ascii="华文中宋" w:hAnsi="华文中宋" w:eastAsia="华文中宋"/>
          <w:bCs/>
          <w:color w:val="000000" w:themeColor="text1"/>
          <w:sz w:val="30"/>
        </w:rPr>
      </w:pPr>
    </w:p>
    <w:p>
      <w:pPr>
        <w:jc w:val="center"/>
        <w:rPr>
          <w:rFonts w:ascii="黑体" w:hAnsi="华文中宋" w:eastAsia="黑体"/>
          <w:bCs/>
          <w:color w:val="000000" w:themeColor="text1"/>
          <w:sz w:val="30"/>
          <w:szCs w:val="30"/>
        </w:rPr>
      </w:pPr>
      <w:r>
        <w:rPr>
          <w:rFonts w:hint="eastAsia" w:ascii="黑体" w:hAnsi="华文中宋" w:eastAsia="黑体"/>
          <w:bCs/>
          <w:color w:val="000000" w:themeColor="text1"/>
          <w:sz w:val="30"/>
          <w:szCs w:val="30"/>
        </w:rPr>
        <w:t>二○二三年一月</w:t>
      </w:r>
      <w:bookmarkStart w:id="0" w:name="报价方须知前附表"/>
      <w:bookmarkEnd w:id="0"/>
      <w:bookmarkStart w:id="1" w:name="_Toc55147045"/>
    </w:p>
    <w:p>
      <w:pPr>
        <w:rPr>
          <w:rFonts w:ascii="黑体" w:hAnsi="华文中宋" w:eastAsia="黑体"/>
          <w:bCs/>
          <w:color w:val="000000" w:themeColor="text1"/>
          <w:sz w:val="30"/>
          <w:szCs w:val="30"/>
        </w:rPr>
      </w:pPr>
    </w:p>
    <w:p>
      <w:pPr>
        <w:pStyle w:val="121"/>
      </w:pPr>
      <w:bookmarkStart w:id="2" w:name="_Toc92976614"/>
      <w:bookmarkStart w:id="3" w:name="_Toc92976583"/>
      <w:r>
        <w:rPr>
          <w:rFonts w:hint="eastAsia"/>
        </w:rPr>
        <w:t>供应商须知</w:t>
      </w:r>
      <w:bookmarkEnd w:id="2"/>
      <w:bookmarkEnd w:id="3"/>
    </w:p>
    <w:tbl>
      <w:tblPr>
        <w:tblStyle w:val="31"/>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z w:val="24"/>
              </w:rPr>
            </w:pPr>
            <w:r>
              <w:rPr>
                <w:rFonts w:hint="eastAsia" w:ascii="宋体" w:hAnsi="宋体" w:cs="宋体"/>
                <w:spacing w:val="2"/>
                <w:sz w:val="24"/>
                <w:lang w:val="zh-CN"/>
              </w:rPr>
              <w:t>采购项目名称：S239湟里收费站大棚拆除及路面恢复工程勘察设计项目</w:t>
            </w:r>
          </w:p>
          <w:p>
            <w:pPr>
              <w:snapToGrid w:val="0"/>
              <w:spacing w:line="26" w:lineRule="atLeast"/>
              <w:rPr>
                <w:rFonts w:ascii="宋体" w:hAnsi="宋体" w:cs="宋体"/>
                <w:b/>
                <w:bCs/>
                <w:spacing w:val="2"/>
                <w:sz w:val="24"/>
              </w:rPr>
            </w:pPr>
            <w:r>
              <w:rPr>
                <w:rFonts w:hint="eastAsia" w:ascii="宋体" w:hAnsi="宋体" w:cs="宋体"/>
                <w:spacing w:val="2"/>
                <w:sz w:val="24"/>
                <w:lang w:val="zh-CN"/>
              </w:rPr>
              <w:t>采购项目编号：</w:t>
            </w:r>
            <w:r>
              <w:rPr>
                <w:rFonts w:ascii="宋体" w:hAnsi="宋体" w:cs="宋体"/>
                <w:spacing w:val="2"/>
                <w:sz w:val="24"/>
                <w:lang w:val="zh-CN"/>
              </w:rPr>
              <w:t>JSRHJC2023001</w:t>
            </w:r>
          </w:p>
          <w:p>
            <w:pPr>
              <w:snapToGrid w:val="0"/>
              <w:spacing w:line="26" w:lineRule="atLeast"/>
              <w:rPr>
                <w:rFonts w:ascii="宋体" w:hAnsi="宋体" w:cs="宋体"/>
                <w:spacing w:val="2"/>
                <w:sz w:val="24"/>
              </w:rPr>
            </w:pPr>
            <w:r>
              <w:rPr>
                <w:rFonts w:hint="eastAsia" w:ascii="宋体" w:hAnsi="宋体" w:cs="宋体"/>
                <w:spacing w:val="2"/>
                <w:sz w:val="24"/>
                <w:lang w:val="zh-CN"/>
              </w:rPr>
              <w:t>合同履行期限</w:t>
            </w:r>
            <w:r>
              <w:rPr>
                <w:rFonts w:hint="eastAsia" w:ascii="宋体" w:hAnsi="宋体" w:cs="宋体"/>
                <w:spacing w:val="2"/>
                <w:sz w:val="24"/>
              </w:rPr>
              <w:t>：2023年1月31日前完成前完成施工图设计及审查</w:t>
            </w:r>
            <w:r>
              <w:rPr>
                <w:rFonts w:hint="eastAsia" w:ascii="宋体" w:hAnsi="宋体" w:cs="宋体"/>
                <w:spacing w:val="2"/>
                <w:sz w:val="24"/>
                <w:lang w:val="zh-CN"/>
              </w:rPr>
              <w:t>。</w:t>
            </w:r>
            <w:r>
              <w:rPr>
                <w:rFonts w:hint="eastAsia" w:ascii="宋体" w:hAnsi="宋体" w:cs="宋体"/>
                <w:spacing w:val="2"/>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ascii="宋体" w:hAnsi="宋体" w:cs="宋体"/>
                <w:spacing w:val="2"/>
                <w:sz w:val="24"/>
                <w:lang w:val="zh-CN"/>
              </w:rPr>
              <w:t>投标保证金:</w:t>
            </w:r>
            <w:r>
              <w:rPr>
                <w:rFonts w:ascii="宋体" w:hAnsi="宋体" w:cs="宋体"/>
                <w:spacing w:val="2"/>
                <w:sz w:val="24"/>
                <w:lang w:val="zh-CN"/>
              </w:rPr>
              <w:t xml:space="preserve"> </w:t>
            </w:r>
            <w:r>
              <w:rPr>
                <w:rFonts w:hint="eastAsia" w:ascii="宋体" w:hAnsi="宋体" w:cs="宋体"/>
                <w:spacing w:val="2"/>
                <w:sz w:val="24"/>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cs="宋体" w:asciiTheme="minorEastAsia" w:hAnsiTheme="minorEastAsia"/>
                <w:sz w:val="24"/>
                <w:szCs w:val="24"/>
              </w:rPr>
              <w:t>现场踏勘：</w:t>
            </w:r>
            <w:r>
              <w:rPr>
                <w:rFonts w:hint="eastAsia" w:asciiTheme="minorEastAsia" w:hAnsiTheme="minorEastAsia"/>
                <w:sz w:val="24"/>
                <w:szCs w:val="24"/>
              </w:rPr>
              <w:t>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Cs/>
                <w:spacing w:val="2"/>
                <w:sz w:val="24"/>
                <w:lang w:val="zh-CN"/>
              </w:rPr>
            </w:pPr>
            <w:r>
              <w:rPr>
                <w:rFonts w:hint="eastAsia" w:ascii="宋体" w:hAnsi="宋体" w:cs="宋体"/>
                <w:spacing w:val="2"/>
                <w:sz w:val="24"/>
                <w:lang w:val="zh-CN"/>
              </w:rPr>
              <w:t>响应文件份数：</w:t>
            </w:r>
            <w:r>
              <w:rPr>
                <w:rFonts w:hint="eastAsia" w:ascii="宋体" w:hAnsi="宋体" w:cs="宋体"/>
                <w:bCs/>
                <w:spacing w:val="2"/>
                <w:sz w:val="24"/>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响应文件接收时间：</w:t>
            </w:r>
            <w:r>
              <w:rPr>
                <w:rFonts w:ascii="宋体" w:hAnsi="宋体" w:eastAsia="宋体"/>
                <w:bCs/>
                <w:sz w:val="24"/>
                <w:szCs w:val="24"/>
                <w:u w:val="single"/>
              </w:rPr>
              <w:t>20</w:t>
            </w:r>
            <w:r>
              <w:rPr>
                <w:rFonts w:hint="eastAsia" w:ascii="宋体" w:hAnsi="宋体" w:eastAsia="宋体"/>
                <w:bCs/>
                <w:sz w:val="24"/>
                <w:szCs w:val="24"/>
                <w:u w:val="single"/>
              </w:rPr>
              <w:t>23</w:t>
            </w:r>
            <w:r>
              <w:rPr>
                <w:rFonts w:ascii="宋体" w:hAnsi="宋体" w:eastAsia="宋体"/>
                <w:bCs/>
                <w:sz w:val="24"/>
                <w:szCs w:val="24"/>
                <w:u w:val="single"/>
              </w:rPr>
              <w:t>年</w:t>
            </w:r>
            <w:r>
              <w:rPr>
                <w:rFonts w:hint="eastAsia" w:ascii="宋体" w:hAnsi="宋体" w:eastAsia="宋体"/>
                <w:bCs/>
                <w:sz w:val="24"/>
                <w:szCs w:val="24"/>
                <w:u w:val="single"/>
              </w:rPr>
              <w:t>1</w:t>
            </w:r>
            <w:r>
              <w:rPr>
                <w:rFonts w:ascii="宋体" w:hAnsi="宋体" w:eastAsia="宋体"/>
                <w:bCs/>
                <w:sz w:val="24"/>
                <w:szCs w:val="24"/>
                <w:u w:val="single"/>
              </w:rPr>
              <w:t>月</w:t>
            </w:r>
            <w:r>
              <w:rPr>
                <w:rFonts w:hint="eastAsia" w:ascii="宋体" w:hAnsi="宋体" w:eastAsia="宋体"/>
                <w:bCs/>
                <w:sz w:val="24"/>
                <w:szCs w:val="24"/>
                <w:u w:val="single"/>
              </w:rPr>
              <w:t>13</w:t>
            </w:r>
            <w:r>
              <w:rPr>
                <w:rFonts w:ascii="宋体" w:hAnsi="宋体" w:eastAsia="宋体"/>
                <w:bCs/>
                <w:sz w:val="24"/>
                <w:szCs w:val="24"/>
                <w:u w:val="single"/>
              </w:rPr>
              <w:t>日</w:t>
            </w:r>
            <w:r>
              <w:rPr>
                <w:rFonts w:hint="eastAsia" w:ascii="宋体" w:hAnsi="宋体" w:eastAsia="宋体"/>
                <w:bCs/>
                <w:sz w:val="24"/>
                <w:szCs w:val="24"/>
                <w:u w:val="single"/>
              </w:rPr>
              <w:t>14</w:t>
            </w:r>
            <w:r>
              <w:rPr>
                <w:rFonts w:ascii="宋体" w:hAnsi="宋体" w:eastAsia="宋体"/>
                <w:bCs/>
                <w:sz w:val="24"/>
                <w:szCs w:val="24"/>
                <w:u w:val="single"/>
              </w:rPr>
              <w:t>点</w:t>
            </w:r>
            <w:r>
              <w:rPr>
                <w:rFonts w:hint="eastAsia" w:ascii="宋体" w:hAnsi="宋体" w:eastAsia="宋体"/>
                <w:bCs/>
                <w:sz w:val="24"/>
                <w:szCs w:val="24"/>
                <w:u w:val="single"/>
              </w:rPr>
              <w:t>00</w:t>
            </w:r>
            <w:r>
              <w:rPr>
                <w:rFonts w:ascii="宋体" w:hAnsi="宋体" w:eastAsia="宋体"/>
                <w:bCs/>
                <w:sz w:val="24"/>
                <w:szCs w:val="24"/>
                <w:u w:val="single"/>
              </w:rPr>
              <w:t>分</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响应文件提交截止时间：</w:t>
            </w:r>
            <w:r>
              <w:rPr>
                <w:rFonts w:ascii="宋体" w:hAnsi="宋体" w:eastAsia="宋体"/>
                <w:bCs/>
                <w:sz w:val="24"/>
                <w:szCs w:val="24"/>
                <w:u w:val="single"/>
              </w:rPr>
              <w:t>20</w:t>
            </w:r>
            <w:r>
              <w:rPr>
                <w:rFonts w:hint="eastAsia" w:ascii="宋体" w:hAnsi="宋体" w:eastAsia="宋体"/>
                <w:bCs/>
                <w:sz w:val="24"/>
                <w:szCs w:val="24"/>
                <w:u w:val="single"/>
              </w:rPr>
              <w:t>23</w:t>
            </w:r>
            <w:r>
              <w:rPr>
                <w:rFonts w:ascii="宋体" w:hAnsi="宋体" w:eastAsia="宋体"/>
                <w:bCs/>
                <w:sz w:val="24"/>
                <w:szCs w:val="24"/>
                <w:u w:val="single"/>
              </w:rPr>
              <w:t>年</w:t>
            </w:r>
            <w:r>
              <w:rPr>
                <w:rFonts w:hint="eastAsia" w:ascii="宋体" w:hAnsi="宋体" w:eastAsia="宋体"/>
                <w:bCs/>
                <w:sz w:val="24"/>
                <w:szCs w:val="24"/>
                <w:u w:val="single"/>
              </w:rPr>
              <w:t>1</w:t>
            </w:r>
            <w:r>
              <w:rPr>
                <w:rFonts w:ascii="宋体" w:hAnsi="宋体" w:eastAsia="宋体"/>
                <w:bCs/>
                <w:sz w:val="24"/>
                <w:szCs w:val="24"/>
                <w:u w:val="single"/>
              </w:rPr>
              <w:t>月</w:t>
            </w:r>
            <w:r>
              <w:rPr>
                <w:rFonts w:hint="eastAsia" w:ascii="宋体" w:hAnsi="宋体" w:eastAsia="宋体"/>
                <w:bCs/>
                <w:sz w:val="24"/>
                <w:szCs w:val="24"/>
                <w:u w:val="single"/>
              </w:rPr>
              <w:t>13</w:t>
            </w:r>
            <w:r>
              <w:rPr>
                <w:rFonts w:ascii="宋体" w:hAnsi="宋体" w:eastAsia="宋体"/>
                <w:bCs/>
                <w:sz w:val="24"/>
                <w:szCs w:val="24"/>
                <w:u w:val="single"/>
              </w:rPr>
              <w:t>日</w:t>
            </w:r>
            <w:r>
              <w:rPr>
                <w:rFonts w:hint="eastAsia" w:ascii="宋体" w:hAnsi="宋体" w:eastAsia="宋体"/>
                <w:bCs/>
                <w:sz w:val="24"/>
                <w:szCs w:val="24"/>
                <w:u w:val="single"/>
              </w:rPr>
              <w:t>14</w:t>
            </w:r>
            <w:r>
              <w:rPr>
                <w:rFonts w:ascii="宋体" w:hAnsi="宋体" w:eastAsia="宋体"/>
                <w:bCs/>
                <w:sz w:val="24"/>
                <w:szCs w:val="24"/>
                <w:u w:val="single"/>
              </w:rPr>
              <w:t>点</w:t>
            </w:r>
            <w:r>
              <w:rPr>
                <w:rFonts w:hint="eastAsia" w:ascii="宋体" w:hAnsi="宋体" w:eastAsia="宋体"/>
                <w:bCs/>
                <w:sz w:val="24"/>
                <w:szCs w:val="24"/>
                <w:u w:val="single"/>
              </w:rPr>
              <w:t>30</w:t>
            </w:r>
            <w:r>
              <w:rPr>
                <w:rFonts w:ascii="宋体" w:hAnsi="宋体" w:eastAsia="宋体"/>
                <w:bCs/>
                <w:sz w:val="24"/>
                <w:szCs w:val="24"/>
                <w:u w:val="single"/>
              </w:rPr>
              <w:t>分</w:t>
            </w:r>
          </w:p>
          <w:p>
            <w:pPr>
              <w:snapToGrid w:val="0"/>
              <w:spacing w:line="26" w:lineRule="atLeast"/>
              <w:ind w:firstLine="122" w:firstLineChars="50"/>
              <w:rPr>
                <w:rFonts w:ascii="宋体" w:hAnsi="宋体" w:cs="宋体"/>
                <w:sz w:val="24"/>
                <w:lang w:val="zh-CN"/>
              </w:rPr>
            </w:pPr>
            <w:r>
              <w:rPr>
                <w:rFonts w:hint="eastAsia" w:ascii="宋体" w:hAnsi="宋体" w:cs="宋体"/>
                <w:spacing w:val="2"/>
                <w:sz w:val="24"/>
                <w:lang w:val="zh-CN"/>
              </w:rPr>
              <w:t>响应文件提交地点：</w:t>
            </w:r>
            <w:r>
              <w:rPr>
                <w:rFonts w:hint="eastAsia" w:ascii="宋体" w:hAnsi="宋体" w:cs="宋体"/>
                <w:sz w:val="24"/>
                <w:shd w:val="clear" w:color="auto" w:fill="FFFFFF"/>
              </w:rPr>
              <w:t>常州市公路事业发展中心407会议室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17"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开标时间：</w:t>
            </w:r>
            <w:r>
              <w:rPr>
                <w:rFonts w:ascii="宋体" w:hAnsi="宋体" w:eastAsia="宋体"/>
                <w:bCs/>
                <w:sz w:val="24"/>
                <w:szCs w:val="24"/>
                <w:u w:val="single"/>
              </w:rPr>
              <w:t>20</w:t>
            </w:r>
            <w:r>
              <w:rPr>
                <w:rFonts w:hint="eastAsia" w:ascii="宋体" w:hAnsi="宋体" w:eastAsia="宋体"/>
                <w:bCs/>
                <w:sz w:val="24"/>
                <w:szCs w:val="24"/>
                <w:u w:val="single"/>
              </w:rPr>
              <w:t>23</w:t>
            </w:r>
            <w:r>
              <w:rPr>
                <w:rFonts w:ascii="宋体" w:hAnsi="宋体" w:eastAsia="宋体"/>
                <w:bCs/>
                <w:sz w:val="24"/>
                <w:szCs w:val="24"/>
                <w:u w:val="single"/>
              </w:rPr>
              <w:t>年</w:t>
            </w:r>
            <w:r>
              <w:rPr>
                <w:rFonts w:hint="eastAsia" w:ascii="宋体" w:hAnsi="宋体" w:eastAsia="宋体"/>
                <w:bCs/>
                <w:sz w:val="24"/>
                <w:szCs w:val="24"/>
                <w:u w:val="single"/>
              </w:rPr>
              <w:t>1</w:t>
            </w:r>
            <w:r>
              <w:rPr>
                <w:rFonts w:ascii="宋体" w:hAnsi="宋体" w:eastAsia="宋体"/>
                <w:bCs/>
                <w:sz w:val="24"/>
                <w:szCs w:val="24"/>
                <w:u w:val="single"/>
              </w:rPr>
              <w:t>月</w:t>
            </w:r>
            <w:r>
              <w:rPr>
                <w:rFonts w:hint="eastAsia" w:ascii="宋体" w:hAnsi="宋体" w:eastAsia="宋体"/>
                <w:bCs/>
                <w:sz w:val="24"/>
                <w:szCs w:val="24"/>
                <w:u w:val="single"/>
              </w:rPr>
              <w:t>13</w:t>
            </w:r>
            <w:r>
              <w:rPr>
                <w:rFonts w:ascii="宋体" w:hAnsi="宋体" w:eastAsia="宋体"/>
                <w:bCs/>
                <w:sz w:val="24"/>
                <w:szCs w:val="24"/>
                <w:u w:val="single"/>
              </w:rPr>
              <w:t>日</w:t>
            </w:r>
            <w:r>
              <w:rPr>
                <w:rFonts w:hint="eastAsia" w:ascii="宋体" w:hAnsi="宋体" w:eastAsia="宋体"/>
                <w:bCs/>
                <w:sz w:val="24"/>
                <w:szCs w:val="24"/>
                <w:u w:val="single"/>
              </w:rPr>
              <w:t>14</w:t>
            </w:r>
            <w:r>
              <w:rPr>
                <w:rFonts w:ascii="宋体" w:hAnsi="宋体" w:eastAsia="宋体"/>
                <w:bCs/>
                <w:sz w:val="24"/>
                <w:szCs w:val="24"/>
                <w:u w:val="single"/>
              </w:rPr>
              <w:t>点</w:t>
            </w:r>
            <w:r>
              <w:rPr>
                <w:rFonts w:hint="eastAsia" w:ascii="宋体" w:hAnsi="宋体" w:eastAsia="宋体"/>
                <w:bCs/>
                <w:sz w:val="24"/>
                <w:szCs w:val="24"/>
                <w:u w:val="single"/>
              </w:rPr>
              <w:t>30</w:t>
            </w:r>
            <w:r>
              <w:rPr>
                <w:rFonts w:ascii="宋体" w:hAnsi="宋体" w:eastAsia="宋体"/>
                <w:bCs/>
                <w:sz w:val="24"/>
                <w:szCs w:val="24"/>
                <w:u w:val="single"/>
              </w:rPr>
              <w:t>分</w:t>
            </w:r>
          </w:p>
          <w:p>
            <w:pPr>
              <w:snapToGrid w:val="0"/>
              <w:spacing w:line="26" w:lineRule="atLeast"/>
              <w:ind w:firstLine="122" w:firstLineChars="50"/>
              <w:rPr>
                <w:rFonts w:ascii="宋体" w:hAnsi="宋体" w:cs="宋体"/>
                <w:spacing w:val="2"/>
                <w:sz w:val="24"/>
              </w:rPr>
            </w:pPr>
            <w:r>
              <w:rPr>
                <w:rFonts w:hint="eastAsia" w:ascii="宋体" w:hAnsi="宋体" w:cs="宋体"/>
                <w:spacing w:val="2"/>
                <w:sz w:val="24"/>
                <w:lang w:val="zh-CN"/>
              </w:rPr>
              <w:t>地　　点：</w:t>
            </w:r>
            <w:r>
              <w:rPr>
                <w:rFonts w:hint="eastAsia" w:ascii="宋体" w:hAnsi="宋体" w:cs="宋体"/>
                <w:sz w:val="24"/>
                <w:shd w:val="clear" w:color="auto" w:fill="FFFFFF"/>
              </w:rPr>
              <w:t>常州市公路事业发展中心407会议室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rPr>
            </w:pPr>
            <w:r>
              <w:rPr>
                <w:rFonts w:hint="eastAsia" w:ascii="宋体" w:hAnsi="宋体" w:cs="宋体"/>
                <w:spacing w:val="2"/>
                <w:sz w:val="24"/>
              </w:rPr>
              <w:t xml:space="preserve"> </w:t>
            </w: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
                <w:bCs/>
                <w:sz w:val="24"/>
              </w:rPr>
            </w:pPr>
            <w:r>
              <w:rPr>
                <w:rFonts w:hint="eastAsia" w:ascii="宋体" w:hAnsi="宋体" w:cs="宋体"/>
                <w:spacing w:val="2"/>
                <w:sz w:val="24"/>
              </w:rPr>
              <w:t xml:space="preserve"> </w:t>
            </w:r>
            <w:r>
              <w:rPr>
                <w:rFonts w:hint="eastAsia" w:ascii="宋体" w:hAnsi="宋体" w:cs="宋体"/>
                <w:spacing w:val="2"/>
                <w:sz w:val="24"/>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供应商信用信息查询渠道:</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sdt>
      <w:sdtPr>
        <w:rPr>
          <w:rFonts w:asciiTheme="minorHAnsi" w:hAnsiTheme="minorHAnsi" w:eastAsiaTheme="minorEastAsia" w:cstheme="minorBidi"/>
          <w:b w:val="0"/>
          <w:bCs w:val="0"/>
          <w:color w:val="auto"/>
          <w:kern w:val="2"/>
          <w:sz w:val="21"/>
          <w:szCs w:val="22"/>
          <w:lang w:val="zh-CN"/>
        </w:rPr>
        <w:id w:val="-1880626030"/>
        <w:docPartObj>
          <w:docPartGallery w:val="Table of Contents"/>
          <w:docPartUnique/>
        </w:docPartObj>
      </w:sdtPr>
      <w:sdtEndPr>
        <w:rPr>
          <w:rFonts w:ascii="Calibri" w:hAnsi="Calibri" w:eastAsia="黑体" w:cstheme="minorBidi"/>
          <w:b w:val="0"/>
          <w:bCs w:val="0"/>
          <w:color w:val="auto"/>
          <w:kern w:val="2"/>
          <w:sz w:val="30"/>
          <w:szCs w:val="30"/>
          <w:lang w:val="en-US"/>
        </w:rPr>
      </w:sdtEndPr>
      <w:sdtContent>
        <w:p>
          <w:pPr>
            <w:pStyle w:val="116"/>
            <w:jc w:val="center"/>
            <w:rPr>
              <w:rFonts w:ascii="黑体" w:hAnsi="黑体" w:eastAsia="黑体"/>
              <w:color w:val="000000" w:themeColor="text1"/>
              <w:sz w:val="48"/>
              <w:szCs w:val="48"/>
              <w:lang w:val="zh-CN"/>
            </w:rPr>
          </w:pPr>
          <w:r>
            <w:rPr>
              <w:rFonts w:ascii="黑体" w:hAnsi="黑体" w:eastAsia="黑体"/>
              <w:color w:val="000000" w:themeColor="text1"/>
              <w:sz w:val="48"/>
              <w:szCs w:val="48"/>
              <w:lang w:val="zh-CN"/>
            </w:rPr>
            <w:t>目</w:t>
          </w:r>
          <w:r>
            <w:rPr>
              <w:rFonts w:hint="eastAsia" w:ascii="黑体" w:hAnsi="黑体" w:eastAsia="黑体"/>
              <w:color w:val="000000" w:themeColor="text1"/>
              <w:sz w:val="48"/>
              <w:szCs w:val="48"/>
              <w:lang w:val="zh-CN"/>
            </w:rPr>
            <w:t xml:space="preserve"> </w:t>
          </w:r>
          <w:r>
            <w:rPr>
              <w:rFonts w:ascii="黑体" w:hAnsi="黑体" w:eastAsia="黑体"/>
              <w:color w:val="000000" w:themeColor="text1"/>
              <w:sz w:val="48"/>
              <w:szCs w:val="48"/>
              <w:lang w:val="zh-CN"/>
            </w:rPr>
            <w:t>录</w:t>
          </w:r>
        </w:p>
        <w:p>
          <w:pPr>
            <w:pStyle w:val="22"/>
            <w:rPr>
              <w:rFonts w:eastAsiaTheme="minorEastAsia"/>
              <w:sz w:val="21"/>
              <w:szCs w:val="22"/>
            </w:rPr>
          </w:pPr>
          <w:r>
            <w:rPr>
              <w:rFonts w:cstheme="minorHAnsi"/>
              <w:sz w:val="32"/>
              <w:szCs w:val="32"/>
            </w:rPr>
            <w:fldChar w:fldCharType="begin"/>
          </w:r>
          <w:r>
            <w:rPr>
              <w:rFonts w:cstheme="minorHAnsi"/>
              <w:sz w:val="32"/>
              <w:szCs w:val="32"/>
            </w:rPr>
            <w:instrText xml:space="preserve">TOC \o "1-3" \h \z \u</w:instrText>
          </w:r>
          <w:r>
            <w:rPr>
              <w:rFonts w:cstheme="minorHAnsi"/>
              <w:sz w:val="32"/>
              <w:szCs w:val="32"/>
            </w:rPr>
            <w:fldChar w:fldCharType="separate"/>
          </w:r>
        </w:p>
        <w:p>
          <w:pPr>
            <w:pStyle w:val="22"/>
            <w:rPr>
              <w:rFonts w:eastAsiaTheme="minorEastAsia"/>
              <w:sz w:val="21"/>
              <w:szCs w:val="22"/>
            </w:rPr>
          </w:pPr>
          <w:r>
            <w:fldChar w:fldCharType="begin"/>
          </w:r>
          <w:r>
            <w:instrText xml:space="preserve"> HYPERLINK \l "_Toc92976615" </w:instrText>
          </w:r>
          <w:r>
            <w:fldChar w:fldCharType="separate"/>
          </w:r>
          <w:r>
            <w:rPr>
              <w:rStyle w:val="38"/>
              <w:rFonts w:hint="eastAsia"/>
            </w:rPr>
            <w:t>一．磋商邀请函</w:t>
          </w:r>
          <w:r>
            <w:tab/>
          </w:r>
          <w:r>
            <w:fldChar w:fldCharType="begin"/>
          </w:r>
          <w:r>
            <w:instrText xml:space="preserve"> PAGEREF _Toc92976615 \h </w:instrText>
          </w:r>
          <w:r>
            <w:fldChar w:fldCharType="separate"/>
          </w:r>
          <w:r>
            <w:t>1</w:t>
          </w:r>
          <w:r>
            <w:fldChar w:fldCharType="end"/>
          </w:r>
          <w:r>
            <w:fldChar w:fldCharType="end"/>
          </w:r>
        </w:p>
        <w:p>
          <w:pPr>
            <w:pStyle w:val="22"/>
            <w:rPr>
              <w:rFonts w:eastAsiaTheme="minorEastAsia"/>
              <w:sz w:val="21"/>
              <w:szCs w:val="22"/>
            </w:rPr>
          </w:pPr>
          <w:r>
            <w:fldChar w:fldCharType="begin"/>
          </w:r>
          <w:r>
            <w:instrText xml:space="preserve"> HYPERLINK \l "_Toc92976616" </w:instrText>
          </w:r>
          <w:r>
            <w:fldChar w:fldCharType="separate"/>
          </w:r>
          <w:r>
            <w:rPr>
              <w:rStyle w:val="38"/>
              <w:rFonts w:hint="eastAsia"/>
            </w:rPr>
            <w:t>二．供应商须知</w:t>
          </w:r>
          <w:r>
            <w:tab/>
          </w:r>
          <w:r>
            <w:fldChar w:fldCharType="begin"/>
          </w:r>
          <w:r>
            <w:instrText xml:space="preserve"> PAGEREF _Toc92976616 \h </w:instrText>
          </w:r>
          <w:r>
            <w:fldChar w:fldCharType="separate"/>
          </w:r>
          <w:r>
            <w:t>4</w:t>
          </w:r>
          <w:r>
            <w:fldChar w:fldCharType="end"/>
          </w:r>
          <w:r>
            <w:fldChar w:fldCharType="end"/>
          </w:r>
        </w:p>
        <w:p>
          <w:pPr>
            <w:pStyle w:val="22"/>
            <w:rPr>
              <w:rFonts w:eastAsiaTheme="minorEastAsia"/>
              <w:sz w:val="21"/>
              <w:szCs w:val="22"/>
            </w:rPr>
          </w:pPr>
          <w:r>
            <w:fldChar w:fldCharType="begin"/>
          </w:r>
          <w:r>
            <w:instrText xml:space="preserve"> HYPERLINK \l "_Toc92976617" </w:instrText>
          </w:r>
          <w:r>
            <w:fldChar w:fldCharType="separate"/>
          </w:r>
          <w:r>
            <w:rPr>
              <w:rStyle w:val="38"/>
              <w:rFonts w:hint="eastAsia"/>
            </w:rPr>
            <w:t>三．项目技术要求和有关说明</w:t>
          </w:r>
          <w:r>
            <w:tab/>
          </w:r>
          <w:r>
            <w:fldChar w:fldCharType="begin"/>
          </w:r>
          <w:r>
            <w:instrText xml:space="preserve"> PAGEREF _Toc92976617 \h </w:instrText>
          </w:r>
          <w:r>
            <w:fldChar w:fldCharType="separate"/>
          </w:r>
          <w:r>
            <w:t>11</w:t>
          </w:r>
          <w:r>
            <w:fldChar w:fldCharType="end"/>
          </w:r>
          <w:r>
            <w:fldChar w:fldCharType="end"/>
          </w:r>
        </w:p>
        <w:p>
          <w:pPr>
            <w:pStyle w:val="22"/>
            <w:rPr>
              <w:rFonts w:eastAsiaTheme="minorEastAsia"/>
              <w:sz w:val="21"/>
              <w:szCs w:val="22"/>
            </w:rPr>
          </w:pPr>
          <w:r>
            <w:fldChar w:fldCharType="begin"/>
          </w:r>
          <w:r>
            <w:instrText xml:space="preserve"> HYPERLINK \l "_Toc92976618" </w:instrText>
          </w:r>
          <w:r>
            <w:fldChar w:fldCharType="separate"/>
          </w:r>
          <w:r>
            <w:rPr>
              <w:rStyle w:val="38"/>
              <w:rFonts w:hint="eastAsia" w:ascii="黑体" w:hAnsi="黑体"/>
              <w:bCs/>
              <w:kern w:val="0"/>
            </w:rPr>
            <w:t>四．合同条款及格式</w:t>
          </w:r>
          <w:r>
            <w:tab/>
          </w:r>
          <w:r>
            <w:fldChar w:fldCharType="begin"/>
          </w:r>
          <w:r>
            <w:instrText xml:space="preserve"> PAGEREF _Toc92976618 \h </w:instrText>
          </w:r>
          <w:r>
            <w:fldChar w:fldCharType="separate"/>
          </w:r>
          <w:r>
            <w:t>11</w:t>
          </w:r>
          <w:r>
            <w:fldChar w:fldCharType="end"/>
          </w:r>
          <w:r>
            <w:fldChar w:fldCharType="end"/>
          </w:r>
        </w:p>
        <w:p>
          <w:pPr>
            <w:pStyle w:val="22"/>
            <w:rPr>
              <w:rFonts w:eastAsiaTheme="minorEastAsia"/>
              <w:sz w:val="21"/>
              <w:szCs w:val="22"/>
            </w:rPr>
          </w:pPr>
          <w:r>
            <w:fldChar w:fldCharType="begin"/>
          </w:r>
          <w:r>
            <w:instrText xml:space="preserve"> HYPERLINK \l "_Toc92976622" </w:instrText>
          </w:r>
          <w:r>
            <w:fldChar w:fldCharType="separate"/>
          </w:r>
          <w:r>
            <w:rPr>
              <w:rStyle w:val="38"/>
              <w:rFonts w:hint="eastAsia"/>
            </w:rPr>
            <w:t>五</w:t>
          </w:r>
          <w:r>
            <w:rPr>
              <w:rStyle w:val="38"/>
            </w:rPr>
            <w:t>.</w:t>
          </w:r>
          <w:r>
            <w:rPr>
              <w:rStyle w:val="38"/>
              <w:rFonts w:hint="eastAsia"/>
            </w:rPr>
            <w:t>评分标准</w:t>
          </w:r>
          <w:r>
            <w:tab/>
          </w:r>
          <w:r>
            <w:fldChar w:fldCharType="begin"/>
          </w:r>
          <w:r>
            <w:instrText xml:space="preserve"> PAGEREF _Toc92976622 \h </w:instrText>
          </w:r>
          <w:r>
            <w:fldChar w:fldCharType="separate"/>
          </w:r>
          <w:r>
            <w:t>18</w:t>
          </w:r>
          <w:r>
            <w:fldChar w:fldCharType="end"/>
          </w:r>
          <w:r>
            <w:fldChar w:fldCharType="end"/>
          </w:r>
        </w:p>
        <w:p>
          <w:pPr>
            <w:pStyle w:val="22"/>
            <w:rPr>
              <w:rFonts w:eastAsiaTheme="minorEastAsia"/>
              <w:sz w:val="21"/>
              <w:szCs w:val="22"/>
            </w:rPr>
          </w:pPr>
          <w:r>
            <w:fldChar w:fldCharType="begin"/>
          </w:r>
          <w:r>
            <w:instrText xml:space="preserve"> HYPERLINK \l "_Toc92976623" </w:instrText>
          </w:r>
          <w:r>
            <w:fldChar w:fldCharType="separate"/>
          </w:r>
          <w:r>
            <w:rPr>
              <w:rStyle w:val="38"/>
              <w:rFonts w:hint="eastAsia" w:ascii="黑体" w:hAnsi="黑体"/>
              <w:bCs/>
              <w:kern w:val="0"/>
            </w:rPr>
            <w:t>六．响应文件格式</w:t>
          </w:r>
          <w:r>
            <w:tab/>
          </w:r>
          <w:r>
            <w:fldChar w:fldCharType="begin"/>
          </w:r>
          <w:r>
            <w:instrText xml:space="preserve"> PAGEREF _Toc92976623 \h </w:instrText>
          </w:r>
          <w:r>
            <w:fldChar w:fldCharType="separate"/>
          </w:r>
          <w:r>
            <w:t>20</w:t>
          </w:r>
          <w:r>
            <w:fldChar w:fldCharType="end"/>
          </w:r>
          <w:r>
            <w:fldChar w:fldCharType="end"/>
          </w:r>
        </w:p>
        <w:p>
          <w:pPr>
            <w:pStyle w:val="22"/>
            <w:rPr>
              <w:rFonts w:eastAsiaTheme="minorEastAsia"/>
              <w:sz w:val="21"/>
              <w:szCs w:val="22"/>
            </w:rPr>
          </w:pPr>
          <w:r>
            <w:fldChar w:fldCharType="begin"/>
          </w:r>
          <w:r>
            <w:instrText xml:space="preserve"> HYPERLINK \l "_Toc92976624" </w:instrText>
          </w:r>
          <w:r>
            <w:fldChar w:fldCharType="separate"/>
          </w:r>
          <w:r>
            <w:rPr>
              <w:rStyle w:val="38"/>
              <w:rFonts w:hint="eastAsia" w:ascii="黑体" w:hAnsi="黑体"/>
              <w:bCs/>
              <w:kern w:val="0"/>
            </w:rPr>
            <w:t>友</w:t>
          </w:r>
          <w:r>
            <w:rPr>
              <w:rStyle w:val="38"/>
              <w:rFonts w:ascii="黑体" w:hAnsi="黑体"/>
              <w:bCs/>
              <w:kern w:val="0"/>
            </w:rPr>
            <w:t xml:space="preserve"> </w:t>
          </w:r>
          <w:r>
            <w:rPr>
              <w:rStyle w:val="38"/>
              <w:rFonts w:hint="eastAsia" w:ascii="黑体" w:hAnsi="黑体"/>
              <w:bCs/>
              <w:kern w:val="0"/>
            </w:rPr>
            <w:t>情</w:t>
          </w:r>
          <w:r>
            <w:rPr>
              <w:rStyle w:val="38"/>
              <w:rFonts w:ascii="黑体" w:hAnsi="黑体"/>
              <w:bCs/>
              <w:kern w:val="0"/>
            </w:rPr>
            <w:t xml:space="preserve"> </w:t>
          </w:r>
          <w:r>
            <w:rPr>
              <w:rStyle w:val="38"/>
              <w:rFonts w:hint="eastAsia" w:ascii="黑体" w:hAnsi="黑体"/>
              <w:bCs/>
              <w:kern w:val="0"/>
            </w:rPr>
            <w:t>提</w:t>
          </w:r>
          <w:r>
            <w:rPr>
              <w:rStyle w:val="38"/>
              <w:rFonts w:ascii="黑体" w:hAnsi="黑体"/>
              <w:bCs/>
              <w:kern w:val="0"/>
            </w:rPr>
            <w:t xml:space="preserve"> </w:t>
          </w:r>
          <w:r>
            <w:rPr>
              <w:rStyle w:val="38"/>
              <w:rFonts w:hint="eastAsia" w:ascii="黑体" w:hAnsi="黑体"/>
              <w:bCs/>
              <w:kern w:val="0"/>
            </w:rPr>
            <w:t>醒</w:t>
          </w:r>
          <w:r>
            <w:tab/>
          </w:r>
          <w:r>
            <w:fldChar w:fldCharType="begin"/>
          </w:r>
          <w:r>
            <w:instrText xml:space="preserve"> PAGEREF _Toc92976624 \h </w:instrText>
          </w:r>
          <w:r>
            <w:fldChar w:fldCharType="separate"/>
          </w:r>
          <w:r>
            <w:t>37</w:t>
          </w:r>
          <w:r>
            <w:fldChar w:fldCharType="end"/>
          </w:r>
          <w:r>
            <w:fldChar w:fldCharType="end"/>
          </w:r>
        </w:p>
        <w:p>
          <w:pPr>
            <w:spacing w:before="120" w:after="120" w:line="360" w:lineRule="auto"/>
            <w:rPr>
              <w:rFonts w:ascii="Calibri" w:hAnsi="Calibri" w:eastAsia="黑体"/>
              <w:sz w:val="30"/>
              <w:szCs w:val="30"/>
            </w:rPr>
            <w:sectPr>
              <w:headerReference r:id="rId5"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eastAsia="黑体" w:cstheme="minorHAnsi"/>
              <w:sz w:val="32"/>
              <w:szCs w:val="32"/>
            </w:rPr>
            <w:fldChar w:fldCharType="end"/>
          </w:r>
        </w:p>
      </w:sdtContent>
    </w:sdt>
    <w:p>
      <w:pPr>
        <w:pStyle w:val="121"/>
      </w:pPr>
      <w:bookmarkStart w:id="4" w:name="_Toc92976615"/>
      <w:r>
        <w:rPr>
          <w:rFonts w:hint="eastAsia"/>
        </w:rPr>
        <w:t>一．磋商邀请函</w:t>
      </w:r>
      <w:bookmarkEnd w:id="1"/>
      <w:bookmarkEnd w:id="4"/>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sz w:val="24"/>
          <w:szCs w:val="24"/>
        </w:rPr>
      </w:pPr>
      <w:r>
        <w:rPr>
          <w:rFonts w:hint="eastAsia" w:ascii="宋体" w:hAnsi="宋体" w:eastAsia="宋体"/>
          <w:sz w:val="24"/>
          <w:szCs w:val="24"/>
          <w:u w:val="single"/>
        </w:rPr>
        <w:t>S239湟里收费站大棚拆除及路面恢复工程勘察设计项目</w:t>
      </w:r>
      <w:r>
        <w:rPr>
          <w:rFonts w:hint="eastAsia" w:ascii="宋体" w:hAnsi="宋体" w:eastAsia="宋体"/>
          <w:sz w:val="24"/>
          <w:szCs w:val="24"/>
        </w:rPr>
        <w:t>的潜在供应商应在</w:t>
      </w:r>
      <w:r>
        <w:rPr>
          <w:rFonts w:hint="eastAsia" w:ascii="宋体" w:hAnsi="宋体" w:eastAsia="宋体"/>
          <w:sz w:val="24"/>
          <w:szCs w:val="24"/>
          <w:u w:val="single"/>
        </w:rPr>
        <w:t>江苏仁禾中衡工程咨询房地产估价有限公司网（</w:t>
      </w:r>
      <w:r>
        <w:fldChar w:fldCharType="begin"/>
      </w:r>
      <w:r>
        <w:instrText xml:space="preserve"> HYPERLINK "http://www.jsrhzh.com/info.asp?id=1）获取采购文件，并于2023年" </w:instrText>
      </w:r>
      <w:r>
        <w:fldChar w:fldCharType="separate"/>
      </w:r>
      <w:r>
        <w:rPr>
          <w:rStyle w:val="38"/>
          <w:rFonts w:ascii="宋体" w:hAnsi="宋体" w:eastAsia="宋体" w:cstheme="minorBidi"/>
          <w:sz w:val="24"/>
          <w:szCs w:val="24"/>
        </w:rPr>
        <w:t>http://www.jsrhzh.com/info.asp?id=1</w:t>
      </w:r>
      <w:r>
        <w:rPr>
          <w:rStyle w:val="38"/>
          <w:rFonts w:hint="eastAsia" w:ascii="宋体" w:hAnsi="宋体" w:eastAsia="宋体" w:cstheme="minorBidi"/>
          <w:sz w:val="24"/>
          <w:szCs w:val="24"/>
        </w:rPr>
        <w:t>）获取采购文件，并于</w:t>
      </w:r>
      <w:r>
        <w:rPr>
          <w:rStyle w:val="38"/>
          <w:rFonts w:ascii="宋体" w:hAnsi="宋体" w:eastAsia="宋体" w:cstheme="minorBidi"/>
          <w:bCs/>
          <w:sz w:val="24"/>
          <w:szCs w:val="24"/>
        </w:rPr>
        <w:t>20</w:t>
      </w:r>
      <w:r>
        <w:rPr>
          <w:rStyle w:val="38"/>
          <w:rFonts w:hint="eastAsia" w:ascii="宋体" w:hAnsi="宋体" w:eastAsia="宋体" w:cstheme="minorBidi"/>
          <w:bCs/>
          <w:sz w:val="24"/>
          <w:szCs w:val="24"/>
        </w:rPr>
        <w:t>23</w:t>
      </w:r>
      <w:r>
        <w:rPr>
          <w:rStyle w:val="38"/>
          <w:rFonts w:ascii="宋体" w:hAnsi="宋体" w:eastAsia="宋体" w:cstheme="minorBidi"/>
          <w:bCs/>
          <w:sz w:val="24"/>
          <w:szCs w:val="24"/>
        </w:rPr>
        <w:t>年</w:t>
      </w:r>
      <w:r>
        <w:rPr>
          <w:rStyle w:val="38"/>
          <w:rFonts w:ascii="宋体" w:hAnsi="宋体" w:eastAsia="宋体" w:cstheme="minorBidi"/>
          <w:bCs/>
          <w:sz w:val="24"/>
          <w:szCs w:val="24"/>
        </w:rPr>
        <w:fldChar w:fldCharType="end"/>
      </w:r>
      <w:r>
        <w:rPr>
          <w:rFonts w:hint="eastAsia" w:ascii="宋体" w:hAnsi="宋体" w:eastAsia="宋体"/>
          <w:bCs/>
          <w:sz w:val="24"/>
          <w:szCs w:val="24"/>
          <w:u w:val="single"/>
        </w:rPr>
        <w:t>1</w:t>
      </w:r>
      <w:r>
        <w:rPr>
          <w:rFonts w:ascii="宋体" w:hAnsi="宋体" w:eastAsia="宋体"/>
          <w:bCs/>
          <w:sz w:val="24"/>
          <w:szCs w:val="24"/>
          <w:u w:val="single"/>
        </w:rPr>
        <w:t>月</w:t>
      </w:r>
      <w:r>
        <w:rPr>
          <w:rFonts w:hint="eastAsia" w:ascii="宋体" w:hAnsi="宋体" w:eastAsia="宋体"/>
          <w:bCs/>
          <w:sz w:val="24"/>
          <w:szCs w:val="24"/>
          <w:u w:val="single"/>
        </w:rPr>
        <w:t>13</w:t>
      </w:r>
      <w:r>
        <w:rPr>
          <w:rFonts w:ascii="宋体" w:hAnsi="宋体" w:eastAsia="宋体"/>
          <w:bCs/>
          <w:sz w:val="24"/>
          <w:szCs w:val="24"/>
          <w:u w:val="single"/>
        </w:rPr>
        <w:t>日</w:t>
      </w:r>
      <w:r>
        <w:rPr>
          <w:rFonts w:hint="eastAsia" w:ascii="宋体" w:hAnsi="宋体" w:eastAsia="宋体"/>
          <w:bCs/>
          <w:sz w:val="24"/>
          <w:szCs w:val="24"/>
          <w:u w:val="single"/>
        </w:rPr>
        <w:t>14</w:t>
      </w:r>
      <w:r>
        <w:rPr>
          <w:rFonts w:ascii="宋体" w:hAnsi="宋体" w:eastAsia="宋体"/>
          <w:bCs/>
          <w:sz w:val="24"/>
          <w:szCs w:val="24"/>
          <w:u w:val="single"/>
        </w:rPr>
        <w:t>点</w:t>
      </w:r>
      <w:r>
        <w:rPr>
          <w:rFonts w:hint="eastAsia" w:ascii="宋体" w:hAnsi="宋体" w:eastAsia="宋体"/>
          <w:bCs/>
          <w:sz w:val="24"/>
          <w:szCs w:val="24"/>
          <w:u w:val="single"/>
        </w:rPr>
        <w:t>30</w:t>
      </w:r>
      <w:r>
        <w:rPr>
          <w:rFonts w:ascii="宋体" w:hAnsi="宋体" w:eastAsia="宋体"/>
          <w:bCs/>
          <w:sz w:val="24"/>
          <w:szCs w:val="24"/>
          <w:u w:val="single"/>
        </w:rPr>
        <w:t>分</w:t>
      </w:r>
      <w:r>
        <w:rPr>
          <w:rFonts w:hint="eastAsia" w:ascii="宋体" w:hAnsi="宋体" w:eastAsia="宋体"/>
          <w:bCs/>
          <w:sz w:val="24"/>
          <w:szCs w:val="24"/>
          <w:u w:val="single"/>
        </w:rPr>
        <w:t>（</w:t>
      </w:r>
      <w:r>
        <w:rPr>
          <w:rFonts w:hint="eastAsia" w:ascii="宋体" w:hAnsi="宋体" w:eastAsia="宋体"/>
          <w:bCs/>
          <w:sz w:val="24"/>
          <w:szCs w:val="24"/>
        </w:rPr>
        <w:t>北京时间）前提交响应文件</w:t>
      </w:r>
      <w:r>
        <w:rPr>
          <w:rFonts w:hint="eastAsia" w:ascii="宋体" w:hAnsi="宋体" w:eastAsia="宋体"/>
          <w:sz w:val="24"/>
          <w:szCs w:val="24"/>
        </w:rPr>
        <w:t>。</w:t>
      </w:r>
    </w:p>
    <w:p>
      <w:pPr>
        <w:snapToGrid w:val="0"/>
        <w:spacing w:line="360" w:lineRule="auto"/>
        <w:ind w:firstLine="240" w:firstLineChars="100"/>
        <w:rPr>
          <w:rFonts w:ascii="Times New Roman" w:hAnsi="Times New Roman"/>
          <w:sz w:val="24"/>
          <w:szCs w:val="24"/>
        </w:rPr>
      </w:pPr>
      <w:bookmarkStart w:id="5" w:name="_Toc28359002"/>
      <w:bookmarkStart w:id="6" w:name="_Toc35393621"/>
      <w:bookmarkStart w:id="7" w:name="_Toc35393790"/>
      <w:bookmarkStart w:id="8" w:name="_Toc28359079"/>
      <w:bookmarkStart w:id="9" w:name="_Hlk24379207"/>
    </w:p>
    <w:p>
      <w:pPr>
        <w:spacing w:line="360" w:lineRule="auto"/>
        <w:rPr>
          <w:b/>
          <w:bCs/>
          <w:sz w:val="24"/>
          <w:szCs w:val="24"/>
        </w:rPr>
      </w:pPr>
      <w:r>
        <w:rPr>
          <w:rFonts w:hint="eastAsia"/>
          <w:b/>
          <w:bCs/>
          <w:sz w:val="24"/>
          <w:szCs w:val="24"/>
        </w:rPr>
        <w:t>一、项目基本情况</w:t>
      </w:r>
      <w:bookmarkEnd w:id="5"/>
      <w:bookmarkEnd w:id="6"/>
      <w:bookmarkEnd w:id="7"/>
      <w:bookmarkEnd w:id="8"/>
    </w:p>
    <w:p>
      <w:pPr>
        <w:snapToGrid w:val="0"/>
        <w:spacing w:line="36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项目编号：</w:t>
      </w:r>
      <w:r>
        <w:rPr>
          <w:rFonts w:asciiTheme="minorEastAsia" w:hAnsiTheme="minorEastAsia"/>
          <w:sz w:val="24"/>
          <w:szCs w:val="24"/>
        </w:rPr>
        <w:t>JSRHJC2023001</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项目名称：S239湟里收费站大棚拆除及路面恢复工程勘察设计项目</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采购方式：口竞争性谈判</w:t>
      </w:r>
      <w:r>
        <w:rPr>
          <w:rFonts w:hint="eastAsia" w:ascii="MS Gothic" w:hAnsi="MS Gothic" w:eastAsia="MS Gothic" w:cs="MS Gothic"/>
          <w:sz w:val="24"/>
          <w:szCs w:val="24"/>
        </w:rPr>
        <w:t>☑</w:t>
      </w:r>
      <w:r>
        <w:rPr>
          <w:rFonts w:hint="eastAsia" w:asciiTheme="minorEastAsia" w:hAnsiTheme="minorEastAsia"/>
          <w:sz w:val="24"/>
          <w:szCs w:val="24"/>
        </w:rPr>
        <w:t>竞争性磋商口询价</w:t>
      </w:r>
    </w:p>
    <w:bookmarkEnd w:id="9"/>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预算金额：9万元 </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最高限价：9万元</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采购需求：S239湟里收费站位于武进区湟里镇境内。收费站起于K49+729.000，终于K50+098.308，总长369.31m。其中水泥砼路面起于K49+804，终于K49+954，全长150m，其余为沥青砼路面。</w:t>
      </w:r>
      <w:r>
        <w:rPr>
          <w:rFonts w:hint="eastAsia" w:ascii="宋体" w:hAnsi="宋体"/>
          <w:bCs/>
          <w:sz w:val="24"/>
          <w:szCs w:val="24"/>
        </w:rPr>
        <w:t>收费站于2022年10月底停止收费，本次对S239湟里收费站进行大棚拆除及路面恢复勘察设计。</w:t>
      </w:r>
      <w:r>
        <w:rPr>
          <w:rFonts w:hint="eastAsia" w:asciiTheme="minorEastAsia" w:hAnsiTheme="minorEastAsia"/>
          <w:sz w:val="24"/>
          <w:szCs w:val="24"/>
        </w:rPr>
        <w:t>具体要求详见项目技术要求和有关说明。</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合同履行期限：</w:t>
      </w:r>
      <w:r>
        <w:rPr>
          <w:rFonts w:hint="eastAsia" w:ascii="宋体" w:hAnsi="宋体" w:cs="宋体"/>
          <w:spacing w:val="2"/>
          <w:sz w:val="24"/>
        </w:rPr>
        <w:t xml:space="preserve"> 2023年1月31日前完成前完成施工图设计及审查。</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w:t>
      </w:r>
      <w:r>
        <w:rPr>
          <w:rFonts w:hint="eastAsia" w:asciiTheme="minorEastAsia" w:hAnsiTheme="minorEastAsia"/>
          <w:sz w:val="24"/>
          <w:szCs w:val="24"/>
          <w:u w:val="single"/>
        </w:rPr>
        <w:t>不接受</w:t>
      </w:r>
      <w:r>
        <w:rPr>
          <w:rFonts w:hint="eastAsia" w:asciiTheme="minorEastAsia" w:hAnsiTheme="minorEastAsia"/>
          <w:sz w:val="24"/>
          <w:szCs w:val="24"/>
        </w:rPr>
        <w:t>联合体。</w:t>
      </w:r>
    </w:p>
    <w:p>
      <w:pPr>
        <w:spacing w:line="360" w:lineRule="auto"/>
        <w:rPr>
          <w:b/>
          <w:bCs/>
          <w:sz w:val="24"/>
          <w:szCs w:val="24"/>
        </w:rPr>
      </w:pPr>
      <w:bookmarkStart w:id="10" w:name="_Toc35393791"/>
      <w:bookmarkStart w:id="11" w:name="_Toc35393622"/>
      <w:bookmarkStart w:id="12" w:name="_Toc28359080"/>
      <w:bookmarkStart w:id="13" w:name="_Toc28359003"/>
      <w:r>
        <w:rPr>
          <w:rFonts w:hint="eastAsia"/>
          <w:b/>
          <w:bCs/>
          <w:sz w:val="24"/>
          <w:szCs w:val="24"/>
        </w:rPr>
        <w:t>二、申请人的资格要求</w:t>
      </w:r>
      <w:bookmarkEnd w:id="10"/>
      <w:bookmarkEnd w:id="11"/>
      <w:bookmarkEnd w:id="12"/>
      <w:bookmarkEnd w:id="13"/>
      <w:r>
        <w:rPr>
          <w:rFonts w:hint="eastAsia"/>
          <w:b/>
          <w:bCs/>
          <w:sz w:val="24"/>
          <w:szCs w:val="24"/>
        </w:rPr>
        <w:t>：</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1.满足《中华人民共和国政府采购法》第二十二条规定；</w:t>
      </w:r>
    </w:p>
    <w:p>
      <w:pPr>
        <w:snapToGrid w:val="0"/>
        <w:spacing w:line="360" w:lineRule="auto"/>
        <w:ind w:firstLine="480" w:firstLineChars="200"/>
        <w:rPr>
          <w:rFonts w:asciiTheme="minorEastAsia" w:hAnsiTheme="minorEastAsia"/>
          <w:sz w:val="24"/>
          <w:szCs w:val="24"/>
        </w:rPr>
      </w:pPr>
      <w:bookmarkStart w:id="14" w:name="_Toc28359081"/>
      <w:bookmarkStart w:id="15" w:name="_Toc28359004"/>
      <w:r>
        <w:rPr>
          <w:rFonts w:hint="eastAsia" w:asciiTheme="minorEastAsia" w:hAnsiTheme="minorEastAsia"/>
          <w:sz w:val="24"/>
          <w:szCs w:val="24"/>
        </w:rPr>
        <w:t>2.落实政府采购政策需满足的资格要求：无</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3.本项目的特定资格要求：</w:t>
      </w:r>
      <w:bookmarkStart w:id="16" w:name="_Toc35393623"/>
      <w:bookmarkStart w:id="17" w:name="_Toc35393792"/>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（2）单位负责人为同一人或者存在直接控股、管理关系的不同供应商，不得参加同一合同项下的政府采购活动。</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（3）采购人的其他特定资格要求：</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①具有公路行业专业丙级及以上设计资质；</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②具有近五年（2018 年1月1日至今，以合同签订时间为准）完成过公路工程设计、咨询、技术服务等项目；</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③项目负责人具有工程师及以上技术职称；</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④项目负责人近五年（2018 年1月1日至今，以合同签订时间为准）承担过公路工程设计、咨询、技术服务等项目的项目负责人；</w:t>
      </w:r>
    </w:p>
    <w:p>
      <w:pPr>
        <w:spacing w:line="360" w:lineRule="auto"/>
        <w:rPr>
          <w:b/>
          <w:bCs/>
          <w:sz w:val="24"/>
          <w:szCs w:val="24"/>
        </w:rPr>
      </w:pPr>
      <w:r>
        <w:rPr>
          <w:rFonts w:hint="eastAsia"/>
          <w:b/>
          <w:bCs/>
          <w:sz w:val="24"/>
          <w:szCs w:val="24"/>
        </w:rPr>
        <w:t>三、获取采购文件</w:t>
      </w:r>
      <w:bookmarkEnd w:id="14"/>
      <w:bookmarkEnd w:id="15"/>
      <w:bookmarkEnd w:id="16"/>
      <w:bookmarkEnd w:id="17"/>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时间：2023年1月3日至2023年1月10日，每天上午8:30至11:30，下午13:30至17:00（北京时间，法定节假日除外）。</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地点：钟楼区玉龙南路280号常州大数据产业园2号楼19楼。</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方式：（供应商可采取以下任一种方式获取采购文件）</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（1）现场领购：提供领购资料至钟楼区玉龙南路280号常州大数据产业园2号楼19楼办理。</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（2）网络领购：若无法现金交纳，请联系姚女士，电 话：0519-86661066。交纳成功后，将符合要求的领购资料扫描件和报名费交纳凭证一并发送至邮箱：</w:t>
      </w:r>
      <w:r>
        <w:rPr>
          <w:rFonts w:ascii="宋体" w:hAnsi="宋体" w:eastAsia="宋体"/>
          <w:bCs/>
          <w:sz w:val="24"/>
          <w:szCs w:val="24"/>
        </w:rPr>
        <w:t>rhzh0603@126.com</w:t>
      </w:r>
      <w:r>
        <w:rPr>
          <w:rFonts w:hint="eastAsia" w:ascii="宋体" w:hAnsi="宋体" w:eastAsia="宋体"/>
          <w:bCs/>
          <w:sz w:val="24"/>
          <w:szCs w:val="24"/>
        </w:rPr>
        <w:t>。</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（3）领购时须提供以下材料：</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①《投标报名申请表》原件一份（格式见附件）；</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②提供有效企业法人营业执照复印件加盖公章；</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售价：人民币伍佰元整(现金交纳或以公司指定方式支付)，采购文件售后一概不退。</w:t>
      </w:r>
    </w:p>
    <w:p>
      <w:pPr>
        <w:spacing w:line="360" w:lineRule="auto"/>
        <w:rPr>
          <w:b/>
          <w:bCs/>
          <w:sz w:val="24"/>
          <w:szCs w:val="24"/>
        </w:rPr>
      </w:pPr>
      <w:bookmarkStart w:id="18" w:name="_Toc35393624"/>
      <w:bookmarkStart w:id="19" w:name="_Toc28359005"/>
      <w:bookmarkStart w:id="20" w:name="_Toc35393793"/>
      <w:bookmarkStart w:id="21" w:name="_Toc28359082"/>
      <w:r>
        <w:rPr>
          <w:rFonts w:hint="eastAsia"/>
          <w:b/>
          <w:bCs/>
          <w:sz w:val="24"/>
          <w:szCs w:val="24"/>
        </w:rPr>
        <w:t>四、响应文件</w:t>
      </w:r>
      <w:bookmarkEnd w:id="18"/>
      <w:bookmarkEnd w:id="19"/>
      <w:bookmarkEnd w:id="20"/>
      <w:bookmarkEnd w:id="21"/>
      <w:r>
        <w:rPr>
          <w:rFonts w:hint="eastAsia"/>
          <w:b/>
          <w:bCs/>
          <w:sz w:val="24"/>
          <w:szCs w:val="24"/>
        </w:rPr>
        <w:t>提交</w:t>
      </w:r>
    </w:p>
    <w:p>
      <w:pPr>
        <w:snapToGrid w:val="0"/>
        <w:spacing w:line="360" w:lineRule="auto"/>
        <w:ind w:firstLine="480" w:firstLineChars="200"/>
        <w:rPr>
          <w:rFonts w:ascii="黑体" w:hAnsi="黑体" w:eastAsia="黑体"/>
          <w:sz w:val="24"/>
          <w:szCs w:val="24"/>
        </w:rPr>
      </w:pPr>
      <w:r>
        <w:rPr>
          <w:rFonts w:hint="eastAsia" w:ascii="宋体" w:hAnsi="宋体" w:eastAsia="宋体"/>
          <w:sz w:val="24"/>
          <w:szCs w:val="24"/>
        </w:rPr>
        <w:t>截止时间：</w:t>
      </w:r>
      <w:r>
        <w:rPr>
          <w:rFonts w:ascii="宋体" w:hAnsi="宋体" w:eastAsia="宋体"/>
          <w:bCs/>
          <w:sz w:val="24"/>
          <w:szCs w:val="24"/>
          <w:u w:val="single"/>
        </w:rPr>
        <w:t>20</w:t>
      </w:r>
      <w:r>
        <w:rPr>
          <w:rFonts w:hint="eastAsia" w:ascii="宋体" w:hAnsi="宋体" w:eastAsia="宋体"/>
          <w:bCs/>
          <w:sz w:val="24"/>
          <w:szCs w:val="24"/>
          <w:u w:val="single"/>
        </w:rPr>
        <w:t>23</w:t>
      </w:r>
      <w:r>
        <w:rPr>
          <w:rFonts w:ascii="宋体" w:hAnsi="宋体" w:eastAsia="宋体"/>
          <w:bCs/>
          <w:sz w:val="24"/>
          <w:szCs w:val="24"/>
          <w:u w:val="single"/>
        </w:rPr>
        <w:t>年</w:t>
      </w:r>
      <w:r>
        <w:rPr>
          <w:rFonts w:hint="eastAsia" w:ascii="宋体" w:hAnsi="宋体" w:eastAsia="宋体"/>
          <w:bCs/>
          <w:sz w:val="24"/>
          <w:szCs w:val="24"/>
          <w:u w:val="single"/>
        </w:rPr>
        <w:t>1</w:t>
      </w:r>
      <w:r>
        <w:rPr>
          <w:rFonts w:ascii="宋体" w:hAnsi="宋体" w:eastAsia="宋体"/>
          <w:bCs/>
          <w:sz w:val="24"/>
          <w:szCs w:val="24"/>
          <w:u w:val="single"/>
        </w:rPr>
        <w:t>月</w:t>
      </w:r>
      <w:r>
        <w:rPr>
          <w:rFonts w:hint="eastAsia" w:ascii="宋体" w:hAnsi="宋体" w:eastAsia="宋体"/>
          <w:bCs/>
          <w:sz w:val="24"/>
          <w:szCs w:val="24"/>
          <w:u w:val="single"/>
        </w:rPr>
        <w:t>13</w:t>
      </w:r>
      <w:r>
        <w:rPr>
          <w:rFonts w:ascii="宋体" w:hAnsi="宋体" w:eastAsia="宋体"/>
          <w:bCs/>
          <w:sz w:val="24"/>
          <w:szCs w:val="24"/>
          <w:u w:val="single"/>
        </w:rPr>
        <w:t>日</w:t>
      </w:r>
      <w:r>
        <w:rPr>
          <w:rFonts w:hint="eastAsia" w:ascii="宋体" w:hAnsi="宋体" w:eastAsia="宋体"/>
          <w:bCs/>
          <w:sz w:val="24"/>
          <w:szCs w:val="24"/>
          <w:u w:val="single"/>
        </w:rPr>
        <w:t>14</w:t>
      </w:r>
      <w:r>
        <w:rPr>
          <w:rFonts w:ascii="宋体" w:hAnsi="宋体" w:eastAsia="宋体"/>
          <w:bCs/>
          <w:sz w:val="24"/>
          <w:szCs w:val="24"/>
          <w:u w:val="single"/>
        </w:rPr>
        <w:t>点</w:t>
      </w:r>
      <w:r>
        <w:rPr>
          <w:rFonts w:hint="eastAsia" w:ascii="宋体" w:hAnsi="宋体" w:eastAsia="宋体"/>
          <w:bCs/>
          <w:sz w:val="24"/>
          <w:szCs w:val="24"/>
          <w:u w:val="single"/>
        </w:rPr>
        <w:t>30</w:t>
      </w:r>
      <w:r>
        <w:rPr>
          <w:rFonts w:ascii="宋体" w:hAnsi="宋体" w:eastAsia="宋体"/>
          <w:bCs/>
          <w:sz w:val="24"/>
          <w:szCs w:val="24"/>
          <w:u w:val="single"/>
        </w:rPr>
        <w:t>分</w:t>
      </w:r>
      <w:r>
        <w:rPr>
          <w:rFonts w:hint="eastAsia" w:ascii="宋体" w:hAnsi="宋体" w:eastAsia="宋体"/>
          <w:bCs/>
          <w:sz w:val="24"/>
          <w:szCs w:val="24"/>
        </w:rPr>
        <w:t>（北京时间）</w:t>
      </w:r>
    </w:p>
    <w:p>
      <w:pPr>
        <w:snapToGrid w:val="0"/>
        <w:spacing w:line="360" w:lineRule="auto"/>
        <w:ind w:firstLine="480" w:firstLineChars="200"/>
        <w:rPr>
          <w:rFonts w:ascii="宋体" w:hAnsi="宋体" w:eastAsia="宋体"/>
          <w:bCs/>
          <w:sz w:val="24"/>
          <w:szCs w:val="24"/>
        </w:rPr>
      </w:pPr>
      <w:r>
        <w:rPr>
          <w:rFonts w:hint="eastAsia" w:ascii="宋体" w:hAnsi="宋体" w:eastAsia="宋体"/>
          <w:sz w:val="24"/>
          <w:szCs w:val="24"/>
        </w:rPr>
        <w:t>地点：</w:t>
      </w:r>
      <w:r>
        <w:rPr>
          <w:rFonts w:hint="eastAsia" w:ascii="宋体" w:hAnsi="宋体" w:eastAsia="宋体"/>
          <w:bCs/>
          <w:sz w:val="24"/>
          <w:szCs w:val="24"/>
        </w:rPr>
        <w:t xml:space="preserve">常州市公路事业发展中心407会议室               </w:t>
      </w:r>
    </w:p>
    <w:p>
      <w:pPr>
        <w:spacing w:line="360" w:lineRule="auto"/>
        <w:rPr>
          <w:b/>
          <w:bCs/>
          <w:sz w:val="24"/>
          <w:szCs w:val="24"/>
        </w:rPr>
      </w:pPr>
      <w:bookmarkStart w:id="22" w:name="_Toc35393786"/>
      <w:bookmarkStart w:id="23" w:name="_Toc28358998"/>
      <w:bookmarkStart w:id="24" w:name="_Toc35393617"/>
      <w:bookmarkStart w:id="25" w:name="_Toc28359075"/>
      <w:r>
        <w:rPr>
          <w:rFonts w:hint="eastAsia"/>
          <w:b/>
          <w:bCs/>
          <w:sz w:val="24"/>
          <w:szCs w:val="24"/>
        </w:rPr>
        <w:t>五、开启</w:t>
      </w:r>
    </w:p>
    <w:p>
      <w:pPr>
        <w:snapToGrid w:val="0"/>
        <w:spacing w:line="360" w:lineRule="auto"/>
        <w:ind w:firstLine="480" w:firstLineChars="200"/>
        <w:rPr>
          <w:rFonts w:ascii="黑体" w:hAnsi="黑体" w:eastAsia="黑体"/>
          <w:sz w:val="24"/>
          <w:szCs w:val="24"/>
        </w:rPr>
      </w:pPr>
      <w:r>
        <w:rPr>
          <w:rFonts w:hint="eastAsia" w:ascii="宋体" w:hAnsi="宋体" w:eastAsia="宋体"/>
          <w:sz w:val="24"/>
          <w:szCs w:val="24"/>
        </w:rPr>
        <w:t>时间：</w:t>
      </w:r>
      <w:r>
        <w:rPr>
          <w:rFonts w:ascii="宋体" w:hAnsi="宋体" w:eastAsia="宋体"/>
          <w:bCs/>
          <w:sz w:val="24"/>
          <w:szCs w:val="24"/>
          <w:u w:val="single"/>
        </w:rPr>
        <w:t>20</w:t>
      </w:r>
      <w:r>
        <w:rPr>
          <w:rFonts w:hint="eastAsia" w:ascii="宋体" w:hAnsi="宋体" w:eastAsia="宋体"/>
          <w:bCs/>
          <w:sz w:val="24"/>
          <w:szCs w:val="24"/>
          <w:u w:val="single"/>
        </w:rPr>
        <w:t>23</w:t>
      </w:r>
      <w:r>
        <w:rPr>
          <w:rFonts w:ascii="宋体" w:hAnsi="宋体" w:eastAsia="宋体"/>
          <w:bCs/>
          <w:sz w:val="24"/>
          <w:szCs w:val="24"/>
          <w:u w:val="single"/>
        </w:rPr>
        <w:t>年</w:t>
      </w:r>
      <w:r>
        <w:rPr>
          <w:rFonts w:hint="eastAsia" w:ascii="宋体" w:hAnsi="宋体" w:eastAsia="宋体"/>
          <w:bCs/>
          <w:sz w:val="24"/>
          <w:szCs w:val="24"/>
          <w:u w:val="single"/>
        </w:rPr>
        <w:t>1</w:t>
      </w:r>
      <w:r>
        <w:rPr>
          <w:rFonts w:ascii="宋体" w:hAnsi="宋体" w:eastAsia="宋体"/>
          <w:bCs/>
          <w:sz w:val="24"/>
          <w:szCs w:val="24"/>
          <w:u w:val="single"/>
        </w:rPr>
        <w:t>月</w:t>
      </w:r>
      <w:r>
        <w:rPr>
          <w:rFonts w:hint="eastAsia" w:ascii="宋体" w:hAnsi="宋体" w:eastAsia="宋体"/>
          <w:bCs/>
          <w:sz w:val="24"/>
          <w:szCs w:val="24"/>
          <w:u w:val="single"/>
        </w:rPr>
        <w:t>13</w:t>
      </w:r>
      <w:r>
        <w:rPr>
          <w:rFonts w:ascii="宋体" w:hAnsi="宋体" w:eastAsia="宋体"/>
          <w:bCs/>
          <w:sz w:val="24"/>
          <w:szCs w:val="24"/>
          <w:u w:val="single"/>
        </w:rPr>
        <w:t>日</w:t>
      </w:r>
      <w:r>
        <w:rPr>
          <w:rFonts w:hint="eastAsia" w:ascii="宋体" w:hAnsi="宋体" w:eastAsia="宋体"/>
          <w:bCs/>
          <w:sz w:val="24"/>
          <w:szCs w:val="24"/>
          <w:u w:val="single"/>
        </w:rPr>
        <w:t>14</w:t>
      </w:r>
      <w:r>
        <w:rPr>
          <w:rFonts w:ascii="宋体" w:hAnsi="宋体" w:eastAsia="宋体"/>
          <w:bCs/>
          <w:sz w:val="24"/>
          <w:szCs w:val="24"/>
          <w:u w:val="single"/>
        </w:rPr>
        <w:t>点</w:t>
      </w:r>
      <w:r>
        <w:rPr>
          <w:rFonts w:hint="eastAsia" w:ascii="宋体" w:hAnsi="宋体" w:eastAsia="宋体"/>
          <w:bCs/>
          <w:sz w:val="24"/>
          <w:szCs w:val="24"/>
          <w:u w:val="single"/>
        </w:rPr>
        <w:t>30</w:t>
      </w:r>
      <w:r>
        <w:rPr>
          <w:rFonts w:ascii="宋体" w:hAnsi="宋体" w:eastAsia="宋体"/>
          <w:bCs/>
          <w:sz w:val="24"/>
          <w:szCs w:val="24"/>
          <w:u w:val="single"/>
        </w:rPr>
        <w:t>分</w:t>
      </w:r>
      <w:r>
        <w:rPr>
          <w:rFonts w:hint="eastAsia" w:ascii="宋体" w:hAnsi="宋体" w:eastAsia="宋体"/>
          <w:bCs/>
          <w:sz w:val="24"/>
          <w:szCs w:val="24"/>
        </w:rPr>
        <w:t>（北京时间）</w:t>
      </w:r>
    </w:p>
    <w:p>
      <w:pPr>
        <w:snapToGrid w:val="0"/>
        <w:spacing w:line="360" w:lineRule="auto"/>
        <w:ind w:firstLine="480" w:firstLineChars="200"/>
        <w:rPr>
          <w:rFonts w:ascii="宋体" w:hAnsi="宋体" w:eastAsia="宋体"/>
          <w:bCs/>
          <w:color w:val="FF0000"/>
          <w:sz w:val="24"/>
          <w:szCs w:val="24"/>
        </w:rPr>
      </w:pPr>
      <w:r>
        <w:rPr>
          <w:rFonts w:hint="eastAsia" w:ascii="宋体" w:hAnsi="宋体" w:eastAsia="宋体"/>
          <w:sz w:val="24"/>
          <w:szCs w:val="24"/>
        </w:rPr>
        <w:t>地点：</w:t>
      </w:r>
      <w:r>
        <w:rPr>
          <w:rFonts w:hint="eastAsia" w:ascii="宋体" w:hAnsi="宋体" w:eastAsia="宋体"/>
          <w:bCs/>
          <w:sz w:val="24"/>
          <w:szCs w:val="24"/>
        </w:rPr>
        <w:t xml:space="preserve">常州市公路事业发展中心407会议室         </w:t>
      </w:r>
      <w:r>
        <w:rPr>
          <w:rFonts w:hint="eastAsia" w:ascii="宋体" w:hAnsi="宋体" w:eastAsia="宋体"/>
          <w:bCs/>
          <w:color w:val="FF0000"/>
          <w:sz w:val="24"/>
          <w:szCs w:val="24"/>
        </w:rPr>
        <w:t xml:space="preserve">   </w:t>
      </w:r>
    </w:p>
    <w:p>
      <w:pPr>
        <w:spacing w:line="360" w:lineRule="auto"/>
        <w:rPr>
          <w:b/>
          <w:bCs/>
          <w:sz w:val="24"/>
          <w:szCs w:val="24"/>
        </w:rPr>
      </w:pPr>
      <w:bookmarkStart w:id="26" w:name="_Toc28359084"/>
      <w:bookmarkStart w:id="27" w:name="_Toc35393625"/>
      <w:bookmarkStart w:id="28" w:name="_Toc35393794"/>
      <w:bookmarkStart w:id="29" w:name="_Toc28359007"/>
      <w:r>
        <w:rPr>
          <w:rFonts w:hint="eastAsia"/>
          <w:b/>
          <w:bCs/>
          <w:sz w:val="24"/>
          <w:szCs w:val="24"/>
        </w:rPr>
        <w:t>六、公告期限</w:t>
      </w:r>
      <w:bookmarkEnd w:id="26"/>
      <w:bookmarkEnd w:id="27"/>
      <w:bookmarkEnd w:id="28"/>
      <w:bookmarkEnd w:id="29"/>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自本公告发布之日起3个工作日。   </w:t>
      </w:r>
    </w:p>
    <w:p>
      <w:pPr>
        <w:spacing w:line="360" w:lineRule="auto"/>
        <w:rPr>
          <w:b/>
          <w:bCs/>
          <w:sz w:val="24"/>
          <w:szCs w:val="24"/>
        </w:rPr>
      </w:pPr>
      <w:bookmarkStart w:id="30" w:name="_Toc35393795"/>
      <w:bookmarkStart w:id="31" w:name="_Toc35393626"/>
      <w:r>
        <w:rPr>
          <w:rFonts w:hint="eastAsia"/>
          <w:b/>
          <w:bCs/>
          <w:sz w:val="24"/>
          <w:szCs w:val="24"/>
        </w:rPr>
        <w:t>七、其他补充事宜</w:t>
      </w:r>
      <w:bookmarkEnd w:id="30"/>
      <w:bookmarkEnd w:id="31"/>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1.现场踏勘：供应商自行踏勘现场。</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2.有关本次采购项目的事项若存在变动或修改，采购代理机构将通过补充或更正形式在网站上发布，因未能及时了解相关最新信息所引起的投标失误责任由供应商自负。</w:t>
      </w:r>
    </w:p>
    <w:p>
      <w:pPr>
        <w:spacing w:line="360" w:lineRule="auto"/>
        <w:rPr>
          <w:b/>
          <w:bCs/>
          <w:sz w:val="24"/>
          <w:szCs w:val="24"/>
        </w:rPr>
      </w:pPr>
      <w:bookmarkStart w:id="32" w:name="_Toc28359008"/>
      <w:bookmarkStart w:id="33" w:name="_Toc28359085"/>
      <w:bookmarkStart w:id="34" w:name="_Toc35393627"/>
      <w:bookmarkStart w:id="35" w:name="_Toc35393796"/>
      <w:r>
        <w:rPr>
          <w:rFonts w:hint="eastAsia"/>
          <w:b/>
          <w:bCs/>
          <w:sz w:val="24"/>
          <w:szCs w:val="24"/>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cs="宋体" w:asciiTheme="minorEastAsia" w:hAnsiTheme="minorEastAsia"/>
          <w:sz w:val="24"/>
          <w:szCs w:val="24"/>
        </w:rPr>
      </w:pPr>
      <w:bookmarkStart w:id="36" w:name="_Toc55147046"/>
      <w:r>
        <w:rPr>
          <w:rFonts w:hint="eastAsia" w:cs="宋体" w:asciiTheme="minorEastAsia" w:hAnsiTheme="minorEastAsia"/>
          <w:sz w:val="24"/>
          <w:szCs w:val="24"/>
        </w:rPr>
        <w:t>1.采购人信息</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名    称：常州市公路事业发展中心</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地    址：朱夏墅村委叶西村42号</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联系方式：冯女士</w:t>
      </w:r>
      <w:bookmarkStart w:id="37" w:name="_Toc35393618"/>
      <w:bookmarkStart w:id="38" w:name="_Toc35393787"/>
      <w:bookmarkStart w:id="39" w:name="_Toc28359076"/>
      <w:bookmarkStart w:id="40" w:name="_Toc28358999"/>
      <w:r>
        <w:rPr>
          <w:rFonts w:cs="宋体" w:asciiTheme="minorEastAsia" w:hAnsiTheme="minorEastAsia"/>
          <w:sz w:val="24"/>
          <w:szCs w:val="24"/>
        </w:rPr>
        <w:t>0519-81661735</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w:t>
      </w:r>
      <w:bookmarkEnd w:id="37"/>
      <w:bookmarkEnd w:id="38"/>
      <w:bookmarkEnd w:id="39"/>
      <w:bookmarkEnd w:id="40"/>
      <w:bookmarkStart w:id="41" w:name="_Toc35393788"/>
      <w:bookmarkStart w:id="42" w:name="_Toc28359000"/>
      <w:bookmarkStart w:id="43" w:name="_Toc35393619"/>
      <w:bookmarkStart w:id="44" w:name="_Toc28359077"/>
      <w:r>
        <w:rPr>
          <w:rFonts w:hint="eastAsia"/>
        </w:rPr>
        <w:t xml:space="preserve"> </w:t>
      </w:r>
      <w:r>
        <w:rPr>
          <w:rFonts w:hint="eastAsia" w:cs="宋体" w:asciiTheme="minorEastAsia" w:hAnsiTheme="minorEastAsia"/>
          <w:sz w:val="24"/>
          <w:szCs w:val="24"/>
        </w:rPr>
        <w:t>采购代理机构信息</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名  称：江苏仁禾中衡工程咨询房地产估价有限公司</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地  址：</w:t>
      </w:r>
      <w:r>
        <w:rPr>
          <w:rFonts w:hint="eastAsia" w:ascii="宋体" w:hAnsi="宋体" w:eastAsia="宋体"/>
          <w:bCs/>
          <w:sz w:val="24"/>
          <w:szCs w:val="24"/>
        </w:rPr>
        <w:t>江苏省常州市天宁区恒生科技园4-1号</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联系方式：</w:t>
      </w:r>
      <w:bookmarkEnd w:id="41"/>
      <w:bookmarkEnd w:id="42"/>
      <w:bookmarkEnd w:id="43"/>
      <w:bookmarkEnd w:id="44"/>
      <w:r>
        <w:rPr>
          <w:rFonts w:hint="eastAsia" w:cs="宋体" w:asciiTheme="minorEastAsia" w:hAnsiTheme="minorEastAsia"/>
          <w:sz w:val="24"/>
          <w:szCs w:val="24"/>
        </w:rPr>
        <w:t>0519-86661066</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3.项目联系方式</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项目联系人：刘女士</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电     话：0519-86661067</w:t>
      </w:r>
    </w:p>
    <w:p>
      <w:pPr>
        <w:widowControl/>
        <w:jc w:val="left"/>
        <w:rPr>
          <w:rFonts w:cs="宋体" w:asciiTheme="minorEastAsia" w:hAnsiTheme="minorEastAsia"/>
          <w:sz w:val="24"/>
          <w:szCs w:val="24"/>
        </w:rPr>
      </w:pPr>
    </w:p>
    <w:p>
      <w:pPr>
        <w:widowControl/>
        <w:jc w:val="left"/>
        <w:rPr>
          <w:rFonts w:ascii="黑体" w:hAnsi="黑体" w:eastAsia="黑体" w:cs="Times New Roman"/>
          <w:bCs/>
          <w:kern w:val="0"/>
          <w:sz w:val="28"/>
          <w:szCs w:val="28"/>
        </w:rPr>
      </w:pPr>
      <w:bookmarkStart w:id="45" w:name="_Toc92976616"/>
      <w:r>
        <w:br w:type="page"/>
      </w:r>
    </w:p>
    <w:p>
      <w:pPr>
        <w:pStyle w:val="121"/>
      </w:pPr>
      <w:r>
        <w:rPr>
          <w:rFonts w:hint="eastAsia"/>
        </w:rPr>
        <w:t>二．供应商须知</w:t>
      </w:r>
      <w:bookmarkEnd w:id="36"/>
      <w:bookmarkEnd w:id="45"/>
    </w:p>
    <w:p>
      <w:pPr>
        <w:spacing w:line="360" w:lineRule="auto"/>
        <w:rPr>
          <w:b/>
          <w:bCs/>
          <w:sz w:val="24"/>
          <w:szCs w:val="24"/>
        </w:rPr>
      </w:pPr>
      <w:r>
        <w:rPr>
          <w:rFonts w:hint="eastAsia"/>
          <w:b/>
          <w:bCs/>
          <w:sz w:val="24"/>
          <w:szCs w:val="24"/>
        </w:rPr>
        <w:t>一、遵循原则</w:t>
      </w:r>
    </w:p>
    <w:p>
      <w:pPr>
        <w:spacing w:line="360" w:lineRule="auto"/>
        <w:ind w:firstLine="480" w:firstLineChars="200"/>
        <w:rPr>
          <w:rFonts w:ascii="黑体" w:hAnsi="宋体" w:eastAsia="黑体"/>
          <w:bCs/>
          <w:color w:val="000000" w:themeColor="text1"/>
          <w:sz w:val="24"/>
          <w:szCs w:val="24"/>
        </w:rPr>
      </w:pPr>
      <w:r>
        <w:rPr>
          <w:rFonts w:hint="eastAsia" w:ascii="宋体" w:hAnsi="宋体"/>
          <w:bCs/>
          <w:color w:val="000000" w:themeColor="text1"/>
          <w:sz w:val="24"/>
          <w:szCs w:val="24"/>
        </w:rPr>
        <w:t>公开透明原则、公平竞争原则、公正原则和诚实信用原则。</w:t>
      </w:r>
    </w:p>
    <w:p>
      <w:pPr>
        <w:spacing w:line="360" w:lineRule="auto"/>
        <w:rPr>
          <w:b/>
          <w:bCs/>
          <w:sz w:val="24"/>
          <w:szCs w:val="24"/>
        </w:rPr>
      </w:pPr>
      <w:r>
        <w:rPr>
          <w:rFonts w:hint="eastAsia"/>
          <w:b/>
          <w:bCs/>
          <w:sz w:val="24"/>
          <w:szCs w:val="24"/>
        </w:rPr>
        <w:t>二、采购文件</w:t>
      </w:r>
    </w:p>
    <w:p>
      <w:pPr>
        <w:tabs>
          <w:tab w:val="left" w:pos="-126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w:t>
      </w:r>
      <w:r>
        <w:rPr>
          <w:rFonts w:hint="eastAsia" w:ascii="宋体" w:hAnsi="宋体"/>
          <w:bCs/>
          <w:color w:val="000000"/>
          <w:sz w:val="24"/>
          <w:szCs w:val="24"/>
        </w:rPr>
        <w:t>供应商应在获取采购文件及有关资料后，按要求制作</w:t>
      </w:r>
      <w:r>
        <w:rPr>
          <w:rFonts w:hint="eastAsia" w:ascii="宋体" w:hAnsi="宋体"/>
          <w:sz w:val="24"/>
        </w:rPr>
        <w:t>投标文件</w:t>
      </w:r>
      <w:r>
        <w:rPr>
          <w:rFonts w:hint="eastAsia" w:ascii="宋体" w:hAnsi="宋体"/>
          <w:bCs/>
          <w:color w:val="000000"/>
          <w:sz w:val="24"/>
          <w:szCs w:val="24"/>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4.采购文件仅作为本次采购报价使用。</w:t>
      </w:r>
    </w:p>
    <w:p>
      <w:pPr>
        <w:spacing w:line="360" w:lineRule="auto"/>
        <w:rPr>
          <w:b/>
          <w:bCs/>
          <w:sz w:val="24"/>
          <w:szCs w:val="24"/>
        </w:rPr>
      </w:pPr>
      <w:r>
        <w:rPr>
          <w:rFonts w:hint="eastAsia"/>
          <w:b/>
          <w:bCs/>
          <w:sz w:val="24"/>
          <w:szCs w:val="24"/>
        </w:rPr>
        <w:t>三、采购文件的解释</w:t>
      </w:r>
    </w:p>
    <w:p>
      <w:pPr>
        <w:tabs>
          <w:tab w:val="left" w:pos="945"/>
        </w:tabs>
        <w:spacing w:line="360" w:lineRule="auto"/>
        <w:ind w:left="523"/>
        <w:rPr>
          <w:rFonts w:ascii="宋体"/>
          <w:bCs/>
          <w:color w:val="000000" w:themeColor="text1"/>
          <w:sz w:val="24"/>
          <w:szCs w:val="24"/>
        </w:rPr>
      </w:pPr>
      <w:r>
        <w:rPr>
          <w:rFonts w:hint="eastAsia" w:ascii="宋体" w:hAnsi="宋体"/>
          <w:bCs/>
          <w:color w:val="000000" w:themeColor="text1"/>
          <w:sz w:val="24"/>
          <w:szCs w:val="24"/>
        </w:rPr>
        <w:t>本文件的最终解释权归江苏仁禾中衡工程咨询房地产估价有限公司。</w:t>
      </w:r>
    </w:p>
    <w:p>
      <w:pPr>
        <w:spacing w:line="360" w:lineRule="auto"/>
        <w:rPr>
          <w:b/>
          <w:bCs/>
          <w:sz w:val="24"/>
          <w:szCs w:val="24"/>
        </w:rPr>
      </w:pPr>
      <w:r>
        <w:rPr>
          <w:rFonts w:hint="eastAsia"/>
          <w:b/>
          <w:bCs/>
          <w:sz w:val="24"/>
          <w:szCs w:val="24"/>
        </w:rPr>
        <w:t>四、采购文件的补充或修正</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4.更正公告以江苏仁禾中衡工程咨询房地产估价有限公司网（</w:t>
      </w:r>
      <w:r>
        <w:rPr>
          <w:rFonts w:ascii="宋体" w:hAnsi="宋体"/>
          <w:bCs/>
          <w:color w:val="000000" w:themeColor="text1"/>
          <w:sz w:val="24"/>
          <w:szCs w:val="24"/>
        </w:rPr>
        <w:t>http://www.jsrhzh.com/info.asp?id=1</w:t>
      </w:r>
      <w:r>
        <w:rPr>
          <w:rFonts w:hint="eastAsia" w:ascii="宋体" w:hAnsi="宋体"/>
          <w:bCs/>
          <w:color w:val="000000" w:themeColor="text1"/>
          <w:sz w:val="24"/>
          <w:szCs w:val="24"/>
        </w:rPr>
        <w:t>）所发布的为准。</w:t>
      </w:r>
    </w:p>
    <w:p>
      <w:pPr>
        <w:pStyle w:val="109"/>
        <w:numPr>
          <w:ilvl w:val="0"/>
          <w:numId w:val="2"/>
        </w:numPr>
        <w:spacing w:line="360" w:lineRule="auto"/>
        <w:ind w:firstLineChars="0"/>
        <w:rPr>
          <w:b/>
          <w:bCs/>
          <w:sz w:val="24"/>
          <w:szCs w:val="24"/>
        </w:rPr>
      </w:pPr>
      <w:r>
        <w:rPr>
          <w:rFonts w:hint="eastAsia"/>
          <w:b/>
          <w:bCs/>
          <w:sz w:val="24"/>
          <w:szCs w:val="24"/>
        </w:rPr>
        <w:t>响应文件的组成</w:t>
      </w:r>
    </w:p>
    <w:p>
      <w:pPr>
        <w:tabs>
          <w:tab w:val="left" w:pos="525"/>
          <w:tab w:val="left" w:pos="945"/>
          <w:tab w:val="left" w:pos="3255"/>
        </w:tabs>
        <w:spacing w:line="360" w:lineRule="auto"/>
        <w:ind w:left="480"/>
        <w:rPr>
          <w:rFonts w:ascii="宋体"/>
          <w:bCs/>
          <w:color w:val="000000" w:themeColor="text1"/>
          <w:sz w:val="24"/>
          <w:szCs w:val="24"/>
        </w:rPr>
      </w:pPr>
      <w:r>
        <w:rPr>
          <w:rFonts w:hint="eastAsia" w:ascii="宋体"/>
          <w:bCs/>
          <w:color w:val="000000" w:themeColor="text1"/>
          <w:sz w:val="24"/>
          <w:szCs w:val="24"/>
        </w:rPr>
        <w:t>1.供应商情况说明</w:t>
      </w:r>
    </w:p>
    <w:p>
      <w:pPr>
        <w:tabs>
          <w:tab w:val="left" w:pos="525"/>
          <w:tab w:val="left" w:pos="630"/>
          <w:tab w:val="left" w:pos="945"/>
        </w:tabs>
        <w:spacing w:line="360" w:lineRule="auto"/>
        <w:ind w:firstLine="480" w:firstLineChars="200"/>
        <w:rPr>
          <w:rFonts w:ascii="宋体"/>
          <w:bCs/>
          <w:color w:val="000000" w:themeColor="text1"/>
          <w:sz w:val="24"/>
          <w:szCs w:val="24"/>
        </w:rPr>
      </w:pPr>
      <w:r>
        <w:rPr>
          <w:rFonts w:hint="eastAsia" w:ascii="宋体"/>
          <w:bCs/>
          <w:color w:val="000000" w:themeColor="text1"/>
          <w:sz w:val="24"/>
          <w:szCs w:val="24"/>
        </w:rPr>
        <w:t>供应商简介（含供应商规模、银行资信、技术能力及装备水平等）、人员情况、典型项目介绍。</w:t>
      </w:r>
    </w:p>
    <w:p>
      <w:pPr>
        <w:tabs>
          <w:tab w:val="left" w:pos="525"/>
          <w:tab w:val="left" w:pos="945"/>
          <w:tab w:val="left" w:pos="3255"/>
        </w:tabs>
        <w:spacing w:line="360" w:lineRule="auto"/>
        <w:ind w:left="524"/>
        <w:rPr>
          <w:rFonts w:ascii="宋体"/>
          <w:bCs/>
          <w:color w:val="000000" w:themeColor="text1"/>
          <w:sz w:val="24"/>
          <w:szCs w:val="24"/>
        </w:rPr>
      </w:pPr>
      <w:r>
        <w:rPr>
          <w:rFonts w:hint="eastAsia" w:ascii="宋体" w:hAnsi="宋体"/>
          <w:bCs/>
          <w:color w:val="000000" w:themeColor="text1"/>
          <w:sz w:val="24"/>
          <w:szCs w:val="24"/>
        </w:rPr>
        <w:t>2.响应函（格式见附件）</w:t>
      </w:r>
    </w:p>
    <w:p>
      <w:pPr>
        <w:tabs>
          <w:tab w:val="left" w:pos="525"/>
          <w:tab w:val="left" w:pos="945"/>
          <w:tab w:val="left" w:pos="3255"/>
        </w:tabs>
        <w:spacing w:line="360" w:lineRule="auto"/>
        <w:ind w:left="524"/>
        <w:rPr>
          <w:rFonts w:ascii="宋体"/>
          <w:bCs/>
          <w:color w:val="000000" w:themeColor="text1"/>
          <w:sz w:val="24"/>
          <w:szCs w:val="24"/>
        </w:rPr>
      </w:pPr>
      <w:r>
        <w:rPr>
          <w:rFonts w:hint="eastAsia" w:ascii="宋体" w:hAnsi="宋体"/>
          <w:bCs/>
          <w:color w:val="000000" w:themeColor="text1"/>
          <w:sz w:val="24"/>
          <w:szCs w:val="24"/>
        </w:rPr>
        <w:t>3.资格、资信证明文件：</w:t>
      </w:r>
    </w:p>
    <w:p>
      <w:pPr>
        <w:tabs>
          <w:tab w:val="left" w:pos="630"/>
          <w:tab w:val="left" w:pos="1276"/>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（1）关于资格的声明函（</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630"/>
          <w:tab w:val="left" w:pos="1276"/>
        </w:tabs>
        <w:spacing w:line="360" w:lineRule="auto"/>
        <w:ind w:firstLine="480" w:firstLineChars="200"/>
        <w:rPr>
          <w:rFonts w:ascii="宋体" w:hAnsi="宋体"/>
          <w:bCs/>
          <w:color w:val="000000" w:themeColor="text1"/>
          <w:sz w:val="24"/>
          <w:szCs w:val="24"/>
        </w:rPr>
      </w:pPr>
      <w:r>
        <w:rPr>
          <w:rFonts w:hint="eastAsia" w:ascii="宋体" w:hAnsi="宋体" w:cs="宋体"/>
          <w:sz w:val="24"/>
        </w:rPr>
        <w:t>（2）法定代表人资格证明书/法定代表人授权委托书（</w:t>
      </w:r>
      <w:r>
        <w:rPr>
          <w:rFonts w:hint="eastAsia" w:ascii="宋体" w:hAnsi="宋体" w:cs="宋体"/>
          <w:b/>
          <w:sz w:val="24"/>
        </w:rPr>
        <w:t>格式见附件</w:t>
      </w:r>
      <w:r>
        <w:rPr>
          <w:rFonts w:hint="eastAsia" w:ascii="宋体" w:hAnsi="宋体" w:cs="宋体"/>
          <w:sz w:val="24"/>
        </w:rPr>
        <w:t>）；</w:t>
      </w:r>
    </w:p>
    <w:p>
      <w:pPr>
        <w:tabs>
          <w:tab w:val="left" w:pos="630"/>
          <w:tab w:val="left" w:pos="1276"/>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sz w:val="24"/>
        </w:rPr>
      </w:pPr>
      <w:r>
        <w:rPr>
          <w:rFonts w:hint="eastAsia" w:ascii="宋体" w:hAnsi="宋体"/>
          <w:bCs/>
          <w:color w:val="000000" w:themeColor="text1"/>
          <w:sz w:val="24"/>
          <w:szCs w:val="24"/>
        </w:rPr>
        <w:t>（4）</w:t>
      </w:r>
      <w:r>
        <w:rPr>
          <w:rFonts w:hint="eastAsia" w:ascii="宋体" w:hAnsi="宋体"/>
          <w:sz w:val="24"/>
        </w:rPr>
        <w:t>具备履行合同所必需的设备和专业技术能力的书面声明（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bCs/>
          <w:color w:val="000000" w:themeColor="text1"/>
          <w:sz w:val="24"/>
          <w:szCs w:val="24"/>
        </w:rPr>
      </w:pPr>
      <w:r>
        <w:rPr>
          <w:rFonts w:hint="eastAsia" w:ascii="宋体" w:hAnsi="宋体"/>
          <w:sz w:val="24"/>
        </w:rPr>
        <w:t>（5）参加政府采购活动前 3 年内在经营活动中没有重大违法记录的书面声明（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hAnsi="宋体"/>
          <w:sz w:val="24"/>
        </w:rPr>
      </w:pPr>
      <w:r>
        <w:rPr>
          <w:rFonts w:hint="eastAsia" w:ascii="宋体" w:hAnsi="宋体"/>
          <w:sz w:val="24"/>
        </w:rPr>
        <w:t>（6）采购人要求的特定资质证明（详见“磋商邀请函”-“申请人的资格要求”）。</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4.报价一览表（</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5.明细报价表（</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6.技术参数偏离表（</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7.评分标准中对应的其它所需证明材料（</w:t>
      </w:r>
      <w:r>
        <w:rPr>
          <w:rFonts w:hint="eastAsia" w:ascii="宋体" w:hAnsi="宋体"/>
          <w:b/>
          <w:bCs/>
          <w:color w:val="000000" w:themeColor="text1"/>
          <w:sz w:val="24"/>
          <w:szCs w:val="24"/>
        </w:rPr>
        <w:t>如有自行添加</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8.采购文件要求供应商提供的和供应商认为与本项目有关的并可以提供的其它相关的证明材料（</w:t>
      </w:r>
      <w:r>
        <w:rPr>
          <w:rFonts w:hint="eastAsia" w:ascii="宋体" w:hAnsi="宋体"/>
          <w:b/>
          <w:bCs/>
          <w:color w:val="000000" w:themeColor="text1"/>
          <w:sz w:val="24"/>
          <w:szCs w:val="24"/>
        </w:rPr>
        <w:t>如有自拟并自行添加</w:t>
      </w:r>
      <w:r>
        <w:rPr>
          <w:rFonts w:hint="eastAsia" w:ascii="宋体" w:hAnsi="宋体"/>
          <w:bCs/>
          <w:color w:val="000000" w:themeColor="text1"/>
          <w:sz w:val="24"/>
          <w:szCs w:val="24"/>
        </w:rPr>
        <w:t>）；</w:t>
      </w:r>
    </w:p>
    <w:p>
      <w:pPr>
        <w:tabs>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上述2-6项供应商必须按要求全部提供</w:t>
      </w:r>
      <w:r>
        <w:rPr>
          <w:rFonts w:hint="eastAsia" w:ascii="宋体" w:hAnsi="宋体"/>
          <w:b/>
          <w:bCs/>
          <w:color w:val="000000" w:themeColor="text1"/>
          <w:sz w:val="24"/>
          <w:szCs w:val="24"/>
        </w:rPr>
        <w:t>（如投标人组成联合体投标，参加联合体的各方均需提供）</w:t>
      </w:r>
      <w:r>
        <w:rPr>
          <w:rFonts w:hint="eastAsia" w:ascii="宋体" w:hAnsi="宋体"/>
          <w:bCs/>
          <w:color w:val="000000" w:themeColor="text1"/>
          <w:sz w:val="24"/>
          <w:szCs w:val="24"/>
        </w:rPr>
        <w:t>，否则响应文件无效。</w:t>
      </w:r>
      <w:r>
        <w:rPr>
          <w:rFonts w:hint="eastAsia" w:ascii="Tahoma" w:hAnsi="Tahoma" w:cs="Tahoma"/>
          <w:color w:val="000000" w:themeColor="text1"/>
          <w:sz w:val="24"/>
          <w:szCs w:val="24"/>
        </w:rPr>
        <w:t>如上述资格证明文件遇年检、换证，则必须提供法定年检、换证单位出具的有效证明复印件。如上述资格证明文件第</w:t>
      </w:r>
      <w:r>
        <w:rPr>
          <w:rFonts w:hint="eastAsia" w:ascii="宋体" w:hAnsi="宋体" w:cs="Tahoma"/>
          <w:color w:val="000000" w:themeColor="text1"/>
          <w:sz w:val="24"/>
          <w:szCs w:val="24"/>
        </w:rPr>
        <w:t>（4）（5）（6）</w:t>
      </w:r>
      <w:r>
        <w:rPr>
          <w:rFonts w:hint="eastAsia" w:ascii="Tahoma" w:hAnsi="Tahoma" w:cs="Tahoma"/>
          <w:color w:val="000000" w:themeColor="text1"/>
          <w:sz w:val="24"/>
          <w:szCs w:val="24"/>
        </w:rPr>
        <w:t>三项遇有国家相关政策规定可不具备的，必须提供相关政策规定或相关单位出具的有效证明复印件。</w:t>
      </w:r>
      <w:r>
        <w:rPr>
          <w:rFonts w:hint="eastAsia" w:ascii="宋体" w:hAnsi="宋体"/>
          <w:bCs/>
          <w:color w:val="000000" w:themeColor="text1"/>
          <w:sz w:val="24"/>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b/>
          <w:bCs/>
          <w:sz w:val="24"/>
          <w:szCs w:val="24"/>
        </w:rPr>
      </w:pPr>
      <w:r>
        <w:rPr>
          <w:rFonts w:hint="eastAsia"/>
          <w:b/>
          <w:bCs/>
          <w:sz w:val="24"/>
          <w:szCs w:val="24"/>
        </w:rPr>
        <w:t>六、响应文件的制作</w:t>
      </w:r>
    </w:p>
    <w:p>
      <w:pPr>
        <w:tabs>
          <w:tab w:val="left" w:pos="525"/>
          <w:tab w:val="left" w:pos="898"/>
          <w:tab w:val="left" w:pos="945"/>
        </w:tabs>
        <w:spacing w:line="360" w:lineRule="auto"/>
        <w:ind w:firstLine="482" w:firstLineChars="200"/>
        <w:rPr>
          <w:rFonts w:ascii="宋体"/>
          <w:bCs/>
          <w:color w:val="000000" w:themeColor="text1"/>
          <w:sz w:val="24"/>
          <w:szCs w:val="24"/>
        </w:rPr>
      </w:pPr>
      <w:r>
        <w:rPr>
          <w:rFonts w:hint="eastAsia" w:ascii="宋体" w:hAnsi="宋体"/>
          <w:b/>
          <w:sz w:val="24"/>
        </w:rPr>
        <w:t>1.响应文件共一式叁份，“正本”壹份、“副本”贰份。</w:t>
      </w:r>
      <w:r>
        <w:rPr>
          <w:rFonts w:hint="eastAsia" w:ascii="宋体" w:hAnsi="宋体"/>
          <w:sz w:val="24"/>
        </w:rPr>
        <w:t>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sz w:val="24"/>
        </w:rPr>
      </w:pPr>
      <w:r>
        <w:rPr>
          <w:rFonts w:hint="eastAsia" w:ascii="宋体" w:hAnsi="宋体"/>
          <w:sz w:val="24"/>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sz w:val="24"/>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4.所有文件、往来函件均应使用简体中文（规格、型号辅助符号例外）。</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sz w:val="24"/>
        </w:rPr>
        <w:t>5.响应</w:t>
      </w:r>
      <w:r>
        <w:rPr>
          <w:rFonts w:hint="eastAsia" w:ascii="宋体" w:hAnsi="宋体"/>
          <w:bCs/>
          <w:color w:val="000000" w:themeColor="text1"/>
          <w:sz w:val="24"/>
          <w:szCs w:val="24"/>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color w:val="000000" w:themeColor="text1"/>
          <w:sz w:val="24"/>
          <w:szCs w:val="24"/>
          <w:lang w:val="zh-CN"/>
        </w:rPr>
        <w:t>6.如无特别说明，</w:t>
      </w:r>
      <w:r>
        <w:rPr>
          <w:rFonts w:hint="eastAsia" w:ascii="宋体" w:hAnsi="宋体"/>
          <w:bCs/>
          <w:color w:val="000000" w:themeColor="text1"/>
          <w:sz w:val="24"/>
          <w:szCs w:val="24"/>
        </w:rPr>
        <w:t>供应商报价一律以人民币为投标结算货币</w:t>
      </w:r>
      <w:r>
        <w:rPr>
          <w:rFonts w:ascii="宋体"/>
          <w:bCs/>
          <w:color w:val="000000" w:themeColor="text1"/>
          <w:sz w:val="24"/>
          <w:szCs w:val="24"/>
        </w:rPr>
        <w:t>,</w:t>
      </w:r>
      <w:r>
        <w:rPr>
          <w:rFonts w:hint="eastAsia" w:ascii="宋体" w:hAnsi="宋体"/>
          <w:bCs/>
          <w:color w:val="000000" w:themeColor="text1"/>
          <w:sz w:val="24"/>
          <w:szCs w:val="24"/>
        </w:rPr>
        <w:t>结算单位为“元”。</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7.报价费用自理。</w:t>
      </w:r>
    </w:p>
    <w:p>
      <w:pPr>
        <w:spacing w:line="360" w:lineRule="auto"/>
        <w:rPr>
          <w:b/>
          <w:bCs/>
          <w:sz w:val="24"/>
          <w:szCs w:val="24"/>
        </w:rPr>
      </w:pPr>
      <w:r>
        <w:rPr>
          <w:rFonts w:hint="eastAsia"/>
          <w:b/>
          <w:bCs/>
          <w:sz w:val="24"/>
          <w:szCs w:val="24"/>
        </w:rPr>
        <w:t>七、无效响应文件的确认：</w:t>
      </w:r>
    </w:p>
    <w:p>
      <w:pPr>
        <w:tabs>
          <w:tab w:val="left" w:pos="945"/>
        </w:tabs>
        <w:spacing w:line="360" w:lineRule="auto"/>
        <w:ind w:firstLine="480" w:firstLineChars="200"/>
        <w:rPr>
          <w:rFonts w:ascii="宋体" w:hAnsi="宋体" w:cs="宋体"/>
          <w:sz w:val="24"/>
        </w:rPr>
      </w:pPr>
      <w:r>
        <w:rPr>
          <w:rFonts w:hint="eastAsia" w:ascii="宋体" w:hAnsi="宋体"/>
          <w:sz w:val="24"/>
        </w:rPr>
        <w:t>供应商</w:t>
      </w:r>
      <w:r>
        <w:rPr>
          <w:rFonts w:hint="eastAsia" w:ascii="宋体" w:hAnsi="宋体"/>
          <w:bCs/>
          <w:color w:val="000000" w:themeColor="text1"/>
          <w:sz w:val="24"/>
          <w:szCs w:val="24"/>
        </w:rPr>
        <w:t>有下列情况之一者，</w:t>
      </w:r>
      <w:r>
        <w:rPr>
          <w:rFonts w:hint="eastAsia" w:ascii="宋体" w:hAnsi="宋体"/>
          <w:sz w:val="24"/>
        </w:rPr>
        <w:t>响应</w:t>
      </w:r>
      <w:r>
        <w:rPr>
          <w:rFonts w:hint="eastAsia" w:ascii="宋体" w:hAnsi="宋体"/>
          <w:bCs/>
          <w:color w:val="000000" w:themeColor="text1"/>
          <w:sz w:val="24"/>
          <w:szCs w:val="24"/>
        </w:rPr>
        <w:t>文件无效：</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1.响应</w:t>
      </w:r>
      <w:r>
        <w:rPr>
          <w:rFonts w:hint="eastAsia" w:ascii="宋体" w:hAnsi="宋体" w:cs="宋体"/>
          <w:sz w:val="24"/>
        </w:rPr>
        <w:t>文件</w:t>
      </w:r>
      <w:r>
        <w:rPr>
          <w:rFonts w:hint="eastAsia" w:ascii="宋体" w:hAnsi="宋体" w:cs="宋体"/>
          <w:color w:val="000000" w:themeColor="text1"/>
          <w:sz w:val="24"/>
        </w:rPr>
        <w:t>封装</w:t>
      </w:r>
      <w:r>
        <w:rPr>
          <w:rFonts w:hint="eastAsia" w:ascii="宋体" w:hAnsi="宋体" w:cs="宋体"/>
          <w:sz w:val="24"/>
        </w:rPr>
        <w:t>未按规定标志、密封、盖章的；</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2.响应</w:t>
      </w:r>
      <w:r>
        <w:rPr>
          <w:rFonts w:hint="eastAsia" w:ascii="宋体" w:hAnsi="宋体" w:cs="宋体"/>
          <w:sz w:val="24"/>
        </w:rPr>
        <w:t>文件未加盖供应商公章的；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bCs/>
          <w:color w:val="000000" w:themeColor="text1"/>
          <w:sz w:val="24"/>
          <w:szCs w:val="24"/>
        </w:rPr>
        <w:t>3.法定</w:t>
      </w:r>
      <w:r>
        <w:rPr>
          <w:rFonts w:hint="eastAsia" w:ascii="宋体" w:hAnsi="宋体" w:cs="宋体"/>
          <w:sz w:val="24"/>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color w:val="000000" w:themeColor="text1"/>
          <w:sz w:val="24"/>
          <w:szCs w:val="24"/>
        </w:rPr>
        <w:t>5.被“信用中国”网站（</w:t>
      </w:r>
      <w:r>
        <w:fldChar w:fldCharType="begin"/>
      </w:r>
      <w:r>
        <w:instrText xml:space="preserve"> HYPERLINK "http://www.creditchina.gov.cn" </w:instrText>
      </w:r>
      <w:r>
        <w:fldChar w:fldCharType="separate"/>
      </w:r>
      <w:r>
        <w:rPr>
          <w:rFonts w:hint="eastAsia" w:ascii="宋体" w:hAnsi="宋体"/>
          <w:bCs/>
          <w:color w:val="000000" w:themeColor="text1"/>
          <w:sz w:val="24"/>
          <w:szCs w:val="24"/>
        </w:rPr>
        <w:t>www.creditchina.gov.cn</w:t>
      </w:r>
      <w:r>
        <w:rPr>
          <w:rFonts w:hint="eastAsia" w:ascii="宋体" w:hAnsi="宋体"/>
          <w:bCs/>
          <w:color w:val="000000" w:themeColor="text1"/>
          <w:sz w:val="24"/>
          <w:szCs w:val="24"/>
        </w:rPr>
        <w:fldChar w:fldCharType="end"/>
      </w:r>
      <w:r>
        <w:rPr>
          <w:rFonts w:hint="eastAsia" w:ascii="宋体" w:hAnsi="宋体"/>
          <w:bCs/>
          <w:color w:val="000000" w:themeColor="text1"/>
          <w:sz w:val="24"/>
          <w:szCs w:val="24"/>
        </w:rPr>
        <w:t>）、中国政府采购网(www.ccgp.gov.cn)列入失信被执行人、重大税收违法案件当事人名单、</w:t>
      </w:r>
      <w:r>
        <w:rPr>
          <w:rFonts w:hint="eastAsia" w:ascii="宋体" w:hAnsi="宋体"/>
          <w:color w:val="000000" w:themeColor="text1"/>
          <w:sz w:val="24"/>
          <w:szCs w:val="24"/>
        </w:rPr>
        <w:t>政府采购严重违法失信行为记录名单的；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sz w:val="24"/>
        </w:rPr>
        <w:t>6.响应</w:t>
      </w:r>
      <w:r>
        <w:rPr>
          <w:rFonts w:hint="eastAsia" w:ascii="宋体" w:hAnsi="宋体"/>
          <w:bCs/>
          <w:color w:val="000000" w:themeColor="text1"/>
          <w:sz w:val="24"/>
          <w:szCs w:val="24"/>
        </w:rPr>
        <w:t>文件未按采购文件规定的内容和要求填写的；</w:t>
      </w:r>
      <w:r>
        <w:rPr>
          <w:rFonts w:ascii="宋体" w:hAnsi="宋体"/>
          <w:bCs/>
          <w:color w:val="000000" w:themeColor="text1"/>
          <w:sz w:val="24"/>
          <w:szCs w:val="24"/>
        </w:rPr>
        <w:t xml:space="preserve"> </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sz w:val="24"/>
        </w:rPr>
        <w:t>7.响应</w:t>
      </w:r>
      <w:r>
        <w:rPr>
          <w:rFonts w:hint="eastAsia" w:ascii="宋体" w:hAnsi="宋体"/>
          <w:bCs/>
          <w:color w:val="000000" w:themeColor="text1"/>
          <w:sz w:val="24"/>
          <w:szCs w:val="24"/>
        </w:rPr>
        <w:t>文件中有采购文件未允许提供的选择性内容；</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8.不同供应商委托同一单位或者个人办理报价事宜的；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9.不同供应商的单位负责人为同一人或者存在直接控股、管理关系的；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10.不同供应商的响应文件由同一单位或者同一个人编制的；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13.项目（标段）报价总价超过本项目（标段）预算或最高限价的；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14.提供虚假材料的（包括工商营业执照、财务报表、资格证明文件等）；</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15.响应文件含有采购人不能接受的附加条件的；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18.响应文件内容不全或不符合采购文件中规定的其它实质性要求的；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19.法律法规和采购文件规定的其它无效情形。</w:t>
      </w:r>
    </w:p>
    <w:p>
      <w:pPr>
        <w:spacing w:line="360" w:lineRule="auto"/>
        <w:rPr>
          <w:b/>
          <w:bCs/>
          <w:sz w:val="24"/>
          <w:szCs w:val="24"/>
        </w:rPr>
      </w:pPr>
      <w:r>
        <w:rPr>
          <w:rFonts w:hint="eastAsia"/>
          <w:b/>
          <w:bCs/>
          <w:sz w:val="24"/>
          <w:szCs w:val="24"/>
        </w:rPr>
        <w:t>八、磋商、评审</w:t>
      </w:r>
    </w:p>
    <w:p>
      <w:pPr>
        <w:tabs>
          <w:tab w:val="left" w:pos="630"/>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磋商、评审工作由</w:t>
      </w:r>
      <w:r>
        <w:rPr>
          <w:rFonts w:hint="eastAsia" w:ascii="宋体" w:hAnsi="宋体"/>
          <w:sz w:val="24"/>
        </w:rPr>
        <w:t>采购代理机构</w:t>
      </w:r>
      <w:r>
        <w:rPr>
          <w:rFonts w:hint="eastAsia" w:ascii="宋体" w:hAnsi="宋体"/>
          <w:bCs/>
          <w:color w:val="000000"/>
          <w:sz w:val="24"/>
          <w:szCs w:val="24"/>
        </w:rPr>
        <w:t>负责组织。</w:t>
      </w:r>
    </w:p>
    <w:p>
      <w:pPr>
        <w:tabs>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bCs/>
          <w:color w:val="000000"/>
          <w:sz w:val="24"/>
          <w:szCs w:val="24"/>
        </w:rPr>
      </w:pPr>
      <w:r>
        <w:rPr>
          <w:rFonts w:hint="eastAsia" w:ascii="宋体" w:hAnsi="宋体"/>
          <w:bCs/>
          <w:color w:val="000000"/>
          <w:sz w:val="24"/>
          <w:szCs w:val="24"/>
        </w:rPr>
        <w:t>1.响应文件的审查</w:t>
      </w:r>
    </w:p>
    <w:p>
      <w:pPr>
        <w:tabs>
          <w:tab w:val="left" w:pos="510"/>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报价</w:t>
      </w:r>
      <w:r>
        <w:rPr>
          <w:rFonts w:hint="eastAsia" w:ascii="宋体" w:hAnsi="宋体"/>
          <w:bCs/>
          <w:color w:val="000000"/>
          <w:sz w:val="24"/>
          <w:szCs w:val="24"/>
        </w:rPr>
        <w:t>一览表</w:t>
      </w:r>
      <w:r>
        <w:rPr>
          <w:rFonts w:ascii="宋体" w:hAnsi="宋体"/>
          <w:bCs/>
          <w:color w:val="000000"/>
          <w:sz w:val="24"/>
          <w:szCs w:val="24"/>
        </w:rPr>
        <w:t>内容与明细表内容不一致的，以报价</w:t>
      </w:r>
      <w:r>
        <w:rPr>
          <w:rFonts w:hint="eastAsia" w:ascii="宋体" w:hAnsi="宋体"/>
          <w:bCs/>
          <w:color w:val="000000"/>
          <w:sz w:val="24"/>
          <w:szCs w:val="24"/>
        </w:rPr>
        <w:t>一览表</w:t>
      </w:r>
      <w:r>
        <w:rPr>
          <w:rFonts w:ascii="宋体" w:hAnsi="宋体"/>
          <w:bCs/>
          <w:color w:val="000000"/>
          <w:sz w:val="24"/>
          <w:szCs w:val="24"/>
        </w:rPr>
        <w:t>为准</w:t>
      </w:r>
      <w:r>
        <w:rPr>
          <w:rFonts w:hint="eastAsia" w:ascii="宋体" w:hAnsi="宋体"/>
          <w:bCs/>
          <w:color w:val="000000"/>
          <w:sz w:val="24"/>
          <w:szCs w:val="24"/>
        </w:rPr>
        <w:t>。</w:t>
      </w:r>
    </w:p>
    <w:p>
      <w:pPr>
        <w:tabs>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09"/>
        <w:numPr>
          <w:ilvl w:val="0"/>
          <w:numId w:val="3"/>
        </w:numPr>
        <w:tabs>
          <w:tab w:val="left" w:pos="510"/>
          <w:tab w:val="left" w:pos="630"/>
          <w:tab w:val="left" w:pos="945"/>
          <w:tab w:val="left" w:pos="1155"/>
        </w:tabs>
        <w:spacing w:line="360" w:lineRule="auto"/>
        <w:ind w:firstLineChars="0"/>
        <w:rPr>
          <w:rFonts w:ascii="宋体" w:hAnsi="宋体"/>
          <w:bCs/>
          <w:color w:val="000000"/>
          <w:sz w:val="24"/>
          <w:szCs w:val="24"/>
        </w:rPr>
      </w:pPr>
      <w:r>
        <w:rPr>
          <w:rFonts w:hint="eastAsia" w:ascii="宋体" w:hAnsi="宋体"/>
          <w:bCs/>
          <w:color w:val="000000"/>
          <w:sz w:val="24"/>
          <w:szCs w:val="24"/>
        </w:rPr>
        <w:t>正本与副本不符，以正本为准。</w:t>
      </w:r>
    </w:p>
    <w:p>
      <w:pPr>
        <w:tabs>
          <w:tab w:val="left" w:pos="525"/>
          <w:tab w:val="left" w:pos="840"/>
          <w:tab w:val="left" w:pos="945"/>
        </w:tabs>
        <w:spacing w:line="360" w:lineRule="auto"/>
        <w:ind w:left="570"/>
        <w:rPr>
          <w:rFonts w:ascii="宋体" w:hAnsi="宋体"/>
          <w:bCs/>
          <w:color w:val="000000"/>
          <w:sz w:val="24"/>
          <w:szCs w:val="24"/>
        </w:rPr>
      </w:pPr>
      <w:r>
        <w:rPr>
          <w:rFonts w:hint="eastAsia" w:ascii="宋体" w:hAnsi="宋体"/>
          <w:bCs/>
          <w:color w:val="000000"/>
          <w:sz w:val="24"/>
        </w:rPr>
        <w:t>2.磋商、</w:t>
      </w:r>
      <w:r>
        <w:rPr>
          <w:rFonts w:ascii="宋体" w:hAnsi="宋体"/>
          <w:bCs/>
          <w:color w:val="000000"/>
          <w:sz w:val="24"/>
        </w:rPr>
        <w:t>评</w:t>
      </w:r>
      <w:r>
        <w:rPr>
          <w:rFonts w:hint="eastAsia" w:ascii="宋体" w:hAnsi="宋体"/>
          <w:bCs/>
          <w:color w:val="000000"/>
          <w:sz w:val="24"/>
        </w:rPr>
        <w:t>审</w:t>
      </w:r>
      <w:r>
        <w:rPr>
          <w:rFonts w:ascii="宋体" w:hAnsi="宋体"/>
          <w:bCs/>
          <w:color w:val="000000"/>
          <w:sz w:val="24"/>
        </w:rPr>
        <w:t>程序</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rPr>
        <w:t>（1）</w:t>
      </w:r>
      <w:r>
        <w:rPr>
          <w:rFonts w:ascii="宋体" w:hAnsi="宋体"/>
          <w:bCs/>
          <w:color w:val="000000"/>
          <w:sz w:val="24"/>
        </w:rPr>
        <w:t>响应文件初审。初审分为资格性审查和符合性审查</w:t>
      </w:r>
      <w:r>
        <w:rPr>
          <w:rFonts w:ascii="宋体" w:hAnsi="宋体"/>
          <w:bCs/>
          <w:color w:val="000000"/>
          <w:sz w:val="24"/>
          <w:szCs w:val="24"/>
        </w:rPr>
        <w:t>。</w:t>
      </w:r>
      <w:r>
        <w:rPr>
          <w:rFonts w:hint="eastAsia" w:ascii="宋体" w:hAnsi="宋体"/>
          <w:bCs/>
          <w:color w:val="000000"/>
          <w:sz w:val="24"/>
          <w:szCs w:val="24"/>
        </w:rPr>
        <w:t xml:space="preserve"> </w:t>
      </w:r>
    </w:p>
    <w:p>
      <w:pPr>
        <w:numPr>
          <w:ilvl w:val="0"/>
          <w:numId w:val="4"/>
        </w:numPr>
        <w:tabs>
          <w:tab w:val="left" w:pos="210"/>
          <w:tab w:val="left" w:pos="945"/>
          <w:tab w:val="left" w:pos="1365"/>
          <w:tab w:val="clear" w:pos="570"/>
        </w:tabs>
        <w:spacing w:line="360" w:lineRule="auto"/>
        <w:ind w:left="0" w:firstLine="480" w:firstLineChars="200"/>
        <w:rPr>
          <w:rFonts w:ascii="宋体" w:hAnsi="宋体"/>
          <w:bCs/>
          <w:color w:val="000000"/>
          <w:sz w:val="24"/>
        </w:rPr>
      </w:pPr>
      <w:r>
        <w:rPr>
          <w:rFonts w:ascii="宋体" w:hAnsi="宋体"/>
          <w:bCs/>
          <w:color w:val="000000"/>
          <w:sz w:val="24"/>
        </w:rPr>
        <w:t>资格性审查。依据法律法规和采购文件的规定，对响应文件中的资格证明、</w:t>
      </w:r>
      <w:r>
        <w:rPr>
          <w:rFonts w:hint="eastAsia" w:ascii="宋体" w:hAnsi="宋体"/>
          <w:bCs/>
          <w:color w:val="000000"/>
          <w:sz w:val="24"/>
        </w:rPr>
        <w:t>投标</w:t>
      </w:r>
      <w:r>
        <w:rPr>
          <w:rFonts w:ascii="宋体" w:hAnsi="宋体"/>
          <w:bCs/>
          <w:color w:val="000000"/>
          <w:sz w:val="24"/>
        </w:rPr>
        <w:t>保证金等进行审查</w:t>
      </w:r>
      <w:r>
        <w:rPr>
          <w:rFonts w:hint="eastAsia" w:ascii="宋体" w:hAnsi="宋体"/>
          <w:bCs/>
          <w:color w:val="000000"/>
          <w:sz w:val="24"/>
        </w:rPr>
        <w:t>；</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Fonts w:hint="eastAsia" w:ascii="宋体" w:hAnsi="宋体"/>
          <w:bCs/>
          <w:color w:val="000000"/>
          <w:sz w:val="24"/>
          <w:szCs w:val="24"/>
        </w:rPr>
        <w:t>www.creditchina.gov.cn</w:t>
      </w:r>
      <w:r>
        <w:rPr>
          <w:rFonts w:hint="eastAsia" w:ascii="宋体" w:hAnsi="宋体"/>
          <w:bCs/>
          <w:color w:val="000000"/>
          <w:sz w:val="24"/>
          <w:szCs w:val="24"/>
        </w:rPr>
        <w:fldChar w:fldCharType="end"/>
      </w:r>
      <w:r>
        <w:rPr>
          <w:rFonts w:hint="eastAsia" w:ascii="宋体" w:hAnsi="宋体"/>
          <w:bCs/>
          <w:color w:val="000000"/>
          <w:sz w:val="24"/>
          <w:szCs w:val="24"/>
        </w:rPr>
        <w:t>）查询报价供应商在报价截止时间之前，是否被列入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ascii="宋体" w:hAnsi="宋体"/>
          <w:bCs/>
          <w:color w:val="000000"/>
          <w:sz w:val="24"/>
        </w:rPr>
      </w:pPr>
      <w:r>
        <w:rPr>
          <w:rFonts w:ascii="宋体" w:hAnsi="宋体"/>
          <w:bCs/>
          <w:color w:val="000000"/>
          <w:sz w:val="24"/>
        </w:rPr>
        <w:t>符合性审查。依据采购文件的规定，从响应文件的有效性、完整性和对采购文件的响应程度进行审查，以确定是否对采购文件的实质性要求作出响应</w:t>
      </w:r>
      <w:r>
        <w:rPr>
          <w:rFonts w:hint="eastAsia" w:ascii="宋体" w:hAnsi="宋体"/>
          <w:bCs/>
          <w:color w:val="000000"/>
          <w:sz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r>
        <w:rPr>
          <w:rFonts w:hint="eastAsia" w:ascii="宋体" w:hAnsi="宋体"/>
          <w:bCs/>
          <w:color w:val="000000"/>
          <w:sz w:val="24"/>
          <w:szCs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（3）磋商小组讨论、确定磋商程序和磋商内容。</w:t>
      </w:r>
    </w:p>
    <w:p>
      <w:pPr>
        <w:tabs>
          <w:tab w:val="left" w:pos="945"/>
          <w:tab w:val="left" w:pos="1104"/>
        </w:tabs>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（4）磋商小组集中与单一供应商分别进行磋商。磋商轮次由磋商小组视情况决定。</w:t>
      </w:r>
    </w:p>
    <w:p>
      <w:pPr>
        <w:tabs>
          <w:tab w:val="left" w:pos="945"/>
          <w:tab w:val="left" w:pos="1104"/>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（5）</w:t>
      </w:r>
      <w:r>
        <w:rPr>
          <w:rFonts w:ascii="宋体" w:hAnsi="宋体"/>
          <w:bCs/>
          <w:color w:val="000000"/>
          <w:sz w:val="24"/>
          <w:szCs w:val="24"/>
        </w:rPr>
        <w:t>在磋商过程中，磋商小组可以根据采购文件和磋商情况实质性变动采购需求中的技术、服务要求以及合同草案条款，但不得变动采购文件中的其他内容。对采购文件作出的实质性变动是采购文件的有效组成部分</w:t>
      </w:r>
      <w:r>
        <w:rPr>
          <w:rFonts w:hint="eastAsia" w:ascii="宋体" w:hAnsi="宋体"/>
          <w:bCs/>
          <w:color w:val="000000"/>
          <w:sz w:val="24"/>
          <w:szCs w:val="24"/>
        </w:rPr>
        <w:t>。如有实质性变动，磋商小组将以书面形式通知所有参加磋商的供应商。</w:t>
      </w:r>
      <w:r>
        <w:rPr>
          <w:rFonts w:ascii="宋体" w:hAnsi="宋体"/>
          <w:bCs/>
          <w:color w:val="000000"/>
          <w:sz w:val="24"/>
          <w:szCs w:val="24"/>
        </w:rPr>
        <w:t>供应商应当按照采购文件的变动情况和磋商小组的要求</w:t>
      </w:r>
      <w:r>
        <w:rPr>
          <w:rFonts w:hint="eastAsia" w:ascii="宋体" w:hAnsi="宋体"/>
          <w:bCs/>
          <w:color w:val="000000"/>
          <w:sz w:val="24"/>
          <w:szCs w:val="24"/>
        </w:rPr>
        <w:t>在规定的时间内</w:t>
      </w:r>
      <w:r>
        <w:rPr>
          <w:rFonts w:ascii="宋体" w:hAnsi="宋体"/>
          <w:bCs/>
          <w:color w:val="000000"/>
          <w:sz w:val="24"/>
          <w:szCs w:val="24"/>
        </w:rPr>
        <w:t>重新提交响应文件，并由其法定代表人或授权代表签字或者加盖公章。</w:t>
      </w:r>
      <w:r>
        <w:rPr>
          <w:rFonts w:hint="eastAsia" w:ascii="宋体" w:hAnsi="宋体"/>
          <w:bCs/>
          <w:color w:val="000000"/>
          <w:sz w:val="24"/>
          <w:szCs w:val="24"/>
        </w:rPr>
        <w:t>如有负偏离，将作为无效报价。</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3.评审方法</w:t>
      </w:r>
    </w:p>
    <w:p>
      <w:pPr>
        <w:tabs>
          <w:tab w:val="left" w:pos="900"/>
        </w:tabs>
        <w:spacing w:line="360" w:lineRule="auto"/>
        <w:ind w:firstLine="477" w:firstLineChars="199"/>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w:t>
      </w:r>
      <w:r>
        <w:rPr>
          <w:rFonts w:ascii="宋体" w:hAnsi="宋体"/>
          <w:bCs/>
          <w:color w:val="000000"/>
          <w:sz w:val="24"/>
          <w:szCs w:val="24"/>
        </w:rPr>
        <w:t>得分相同</w:t>
      </w:r>
      <w:r>
        <w:rPr>
          <w:rFonts w:hint="eastAsia" w:ascii="宋体" w:hAnsi="宋体"/>
          <w:bCs/>
          <w:color w:val="000000"/>
          <w:sz w:val="24"/>
          <w:szCs w:val="24"/>
        </w:rPr>
        <w:t>的</w:t>
      </w:r>
      <w:r>
        <w:rPr>
          <w:rFonts w:ascii="宋体" w:hAnsi="宋体"/>
          <w:bCs/>
          <w:color w:val="000000"/>
          <w:sz w:val="24"/>
          <w:szCs w:val="24"/>
        </w:rPr>
        <w:t>，按</w:t>
      </w:r>
      <w:r>
        <w:rPr>
          <w:rFonts w:hint="eastAsia" w:ascii="宋体" w:hAnsi="宋体"/>
          <w:bCs/>
          <w:color w:val="000000"/>
          <w:sz w:val="24"/>
          <w:szCs w:val="24"/>
        </w:rPr>
        <w:t>最后</w:t>
      </w:r>
      <w:r>
        <w:rPr>
          <w:rFonts w:ascii="宋体" w:hAnsi="宋体"/>
          <w:bCs/>
          <w:color w:val="000000"/>
          <w:sz w:val="24"/>
          <w:szCs w:val="24"/>
        </w:rPr>
        <w:t>报价由低到高顺序排列</w:t>
      </w:r>
      <w:r>
        <w:rPr>
          <w:rFonts w:hint="eastAsia" w:ascii="宋体" w:hAnsi="宋体"/>
          <w:bCs/>
          <w:color w:val="000000"/>
          <w:sz w:val="24"/>
          <w:szCs w:val="24"/>
        </w:rPr>
        <w:t>；评审</w:t>
      </w:r>
      <w:r>
        <w:rPr>
          <w:rFonts w:ascii="宋体" w:hAnsi="宋体"/>
          <w:bCs/>
          <w:color w:val="000000"/>
          <w:sz w:val="24"/>
          <w:szCs w:val="24"/>
        </w:rPr>
        <w:t>得分且</w:t>
      </w:r>
      <w:r>
        <w:rPr>
          <w:rFonts w:hint="eastAsia" w:ascii="宋体" w:hAnsi="宋体"/>
          <w:bCs/>
          <w:color w:val="000000"/>
          <w:sz w:val="24"/>
          <w:szCs w:val="24"/>
        </w:rPr>
        <w:t>最后</w:t>
      </w:r>
      <w:r>
        <w:rPr>
          <w:rFonts w:ascii="宋体" w:hAnsi="宋体"/>
          <w:bCs/>
          <w:color w:val="000000"/>
          <w:sz w:val="24"/>
          <w:szCs w:val="24"/>
        </w:rPr>
        <w:t>报价相同</w:t>
      </w:r>
      <w:r>
        <w:rPr>
          <w:rFonts w:hint="eastAsia" w:ascii="宋体" w:hAnsi="宋体"/>
          <w:bCs/>
          <w:color w:val="000000"/>
          <w:sz w:val="24"/>
          <w:szCs w:val="24"/>
        </w:rPr>
        <w:t>的</w:t>
      </w:r>
      <w:r>
        <w:rPr>
          <w:rFonts w:ascii="宋体" w:hAnsi="宋体"/>
          <w:bCs/>
          <w:color w:val="000000"/>
          <w:sz w:val="24"/>
          <w:szCs w:val="24"/>
        </w:rPr>
        <w:t>，</w:t>
      </w:r>
      <w:r>
        <w:rPr>
          <w:rFonts w:hint="eastAsia" w:ascii="宋体" w:hAnsi="宋体"/>
          <w:bCs/>
          <w:color w:val="000000"/>
          <w:sz w:val="24"/>
          <w:szCs w:val="24"/>
        </w:rPr>
        <w:t>按</w:t>
      </w:r>
      <w:r>
        <w:rPr>
          <w:rFonts w:ascii="宋体" w:hAnsi="宋体"/>
          <w:bCs/>
          <w:color w:val="000000"/>
          <w:sz w:val="24"/>
          <w:szCs w:val="24"/>
        </w:rPr>
        <w:t>技术指标优劣顺序排列</w:t>
      </w:r>
      <w:r>
        <w:rPr>
          <w:rFonts w:hint="eastAsia" w:ascii="宋体" w:hAnsi="宋体"/>
          <w:bCs/>
          <w:color w:val="000000"/>
          <w:sz w:val="24"/>
          <w:szCs w:val="24"/>
        </w:rPr>
        <w:t>。</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4.评分标准</w:t>
      </w:r>
    </w:p>
    <w:p>
      <w:pPr>
        <w:tabs>
          <w:tab w:val="left" w:pos="945"/>
        </w:tabs>
        <w:spacing w:line="360" w:lineRule="auto"/>
        <w:ind w:firstLine="480" w:firstLineChars="200"/>
        <w:rPr>
          <w:rFonts w:ascii="宋体" w:hAnsi="宋体"/>
          <w:bCs/>
          <w:sz w:val="24"/>
        </w:rPr>
      </w:pPr>
      <w:r>
        <w:rPr>
          <w:rFonts w:hint="eastAsia" w:ascii="宋体" w:hAnsi="宋体"/>
          <w:bCs/>
          <w:sz w:val="24"/>
        </w:rPr>
        <w:t>详见第五章 评分标准。</w:t>
      </w:r>
    </w:p>
    <w:p>
      <w:pPr>
        <w:spacing w:line="360" w:lineRule="auto"/>
        <w:rPr>
          <w:b/>
          <w:bCs/>
          <w:sz w:val="24"/>
          <w:szCs w:val="24"/>
        </w:rPr>
      </w:pPr>
      <w:r>
        <w:rPr>
          <w:rFonts w:hint="eastAsia"/>
          <w:b/>
          <w:bCs/>
          <w:sz w:val="24"/>
          <w:szCs w:val="24"/>
        </w:rPr>
        <w:t>九、确定成交供应商</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2.采购代理机构将评审结果通知所有参加报价的未成交供应商，并在江苏仁禾中衡工程咨询房地产估价有限公司网（</w:t>
      </w:r>
      <w:r>
        <w:rPr>
          <w:rFonts w:ascii="宋体" w:hAnsi="宋体"/>
          <w:bCs/>
          <w:color w:val="000000"/>
          <w:sz w:val="24"/>
          <w:szCs w:val="24"/>
        </w:rPr>
        <w:t>http://www.jsrhzh.com/info.asp?id=1</w:t>
      </w:r>
      <w:r>
        <w:rPr>
          <w:rFonts w:hint="eastAsia" w:ascii="宋体" w:hAnsi="宋体"/>
          <w:bCs/>
          <w:color w:val="000000"/>
          <w:sz w:val="24"/>
          <w:szCs w:val="24"/>
        </w:rPr>
        <w:t>）发布成交公告。采购代理机构和磋商小组对未成交原因不做解释。</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sz w:val="24"/>
        </w:rPr>
        <w:t>3.采购代理机构</w:t>
      </w:r>
      <w:r>
        <w:rPr>
          <w:rFonts w:hint="eastAsia" w:ascii="宋体" w:hAnsi="宋体"/>
          <w:bCs/>
          <w:color w:val="000000"/>
          <w:sz w:val="24"/>
          <w:szCs w:val="24"/>
        </w:rPr>
        <w:t>向成交供应商发成交通知书。</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themeColor="text1"/>
          <w:sz w:val="24"/>
          <w:szCs w:val="24"/>
        </w:rPr>
        <w:t>4.报价供应商提交的纸质响应文件将作为存档依据，不予退回</w:t>
      </w:r>
      <w:r>
        <w:rPr>
          <w:rFonts w:hint="eastAsia" w:ascii="宋体" w:hAnsi="宋体"/>
          <w:bCs/>
          <w:color w:val="000000"/>
          <w:sz w:val="24"/>
          <w:szCs w:val="24"/>
        </w:rPr>
        <w:t>。</w:t>
      </w:r>
    </w:p>
    <w:p>
      <w:pPr>
        <w:spacing w:line="360" w:lineRule="auto"/>
        <w:rPr>
          <w:b/>
          <w:bCs/>
          <w:sz w:val="24"/>
          <w:szCs w:val="24"/>
        </w:rPr>
      </w:pPr>
      <w:r>
        <w:rPr>
          <w:rFonts w:hint="eastAsia"/>
          <w:b/>
          <w:bCs/>
          <w:sz w:val="24"/>
          <w:szCs w:val="24"/>
        </w:rPr>
        <w:t>十、采购终止</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因情况变化，不再符合规定的竞争性磋商采购方式适用情形的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出现影响采购公正的违法、违规行为的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3.除《</w:t>
      </w:r>
      <w:r>
        <w:rPr>
          <w:rFonts w:ascii="宋体" w:hAnsi="宋体"/>
          <w:bCs/>
          <w:color w:val="000000"/>
          <w:sz w:val="24"/>
          <w:szCs w:val="24"/>
        </w:rPr>
        <w:t>政府采购</w:t>
      </w:r>
      <w:r>
        <w:rPr>
          <w:rFonts w:hint="eastAsia" w:ascii="宋体" w:hAnsi="宋体"/>
          <w:bCs/>
          <w:color w:val="000000"/>
          <w:sz w:val="24"/>
          <w:szCs w:val="24"/>
        </w:rPr>
        <w:t>竞争性磋商</w:t>
      </w:r>
      <w:r>
        <w:rPr>
          <w:rFonts w:ascii="宋体" w:hAnsi="宋体"/>
          <w:bCs/>
          <w:color w:val="000000"/>
          <w:sz w:val="24"/>
          <w:szCs w:val="24"/>
        </w:rPr>
        <w:t>采购方式管理</w:t>
      </w:r>
      <w:r>
        <w:rPr>
          <w:rFonts w:hint="eastAsia" w:ascii="宋体" w:hAnsi="宋体"/>
          <w:bCs/>
          <w:color w:val="000000"/>
          <w:sz w:val="24"/>
          <w:szCs w:val="24"/>
        </w:rPr>
        <w:t>暂行</w:t>
      </w:r>
      <w:r>
        <w:rPr>
          <w:rFonts w:ascii="宋体" w:hAnsi="宋体"/>
          <w:bCs/>
          <w:color w:val="000000"/>
          <w:sz w:val="24"/>
          <w:szCs w:val="24"/>
        </w:rPr>
        <w:t>办法</w:t>
      </w:r>
      <w:r>
        <w:rPr>
          <w:rFonts w:hint="eastAsia" w:ascii="宋体" w:hAnsi="宋体"/>
          <w:bCs/>
          <w:color w:val="000000"/>
          <w:sz w:val="24"/>
          <w:szCs w:val="24"/>
        </w:rPr>
        <w:t>》</w:t>
      </w:r>
      <w:r>
        <w:rPr>
          <w:rFonts w:ascii="宋体" w:hAnsi="宋体"/>
          <w:bCs/>
          <w:color w:val="000000"/>
          <w:sz w:val="24"/>
          <w:szCs w:val="24"/>
        </w:rPr>
        <w:t>第二十</w:t>
      </w:r>
      <w:r>
        <w:rPr>
          <w:rFonts w:hint="eastAsia" w:ascii="宋体" w:hAnsi="宋体"/>
          <w:bCs/>
          <w:color w:val="000000"/>
          <w:sz w:val="24"/>
          <w:szCs w:val="24"/>
        </w:rPr>
        <w:t>一</w:t>
      </w:r>
      <w:r>
        <w:rPr>
          <w:rFonts w:ascii="宋体" w:hAnsi="宋体"/>
          <w:bCs/>
          <w:color w:val="000000"/>
          <w:sz w:val="24"/>
          <w:szCs w:val="24"/>
        </w:rPr>
        <w:t>条第</w:t>
      </w:r>
      <w:r>
        <w:rPr>
          <w:rFonts w:hint="eastAsia" w:ascii="宋体" w:hAnsi="宋体"/>
          <w:bCs/>
          <w:color w:val="000000"/>
          <w:sz w:val="24"/>
          <w:szCs w:val="24"/>
        </w:rPr>
        <w:t>三</w:t>
      </w:r>
      <w:r>
        <w:rPr>
          <w:rFonts w:ascii="宋体" w:hAnsi="宋体"/>
          <w:bCs/>
          <w:color w:val="000000"/>
          <w:sz w:val="24"/>
          <w:szCs w:val="24"/>
        </w:rPr>
        <w:t>款</w:t>
      </w:r>
      <w:r>
        <w:rPr>
          <w:rFonts w:hint="eastAsia" w:ascii="宋体" w:hAnsi="宋体"/>
          <w:bCs/>
          <w:color w:val="000000"/>
          <w:sz w:val="24"/>
          <w:szCs w:val="24"/>
        </w:rPr>
        <w:t>和《财政部关于政府采购竞争性磋商采购方式管理暂行办法有关问题的补充通知》</w:t>
      </w:r>
      <w:r>
        <w:rPr>
          <w:rFonts w:ascii="宋体" w:hAnsi="宋体"/>
          <w:bCs/>
          <w:color w:val="000000"/>
          <w:sz w:val="24"/>
          <w:szCs w:val="24"/>
        </w:rPr>
        <w:t>规定的情形外</w:t>
      </w:r>
      <w:r>
        <w:rPr>
          <w:rFonts w:hint="eastAsia" w:ascii="宋体" w:hAnsi="宋体"/>
          <w:bCs/>
          <w:color w:val="000000"/>
          <w:sz w:val="24"/>
          <w:szCs w:val="24"/>
        </w:rPr>
        <w:t>，</w:t>
      </w:r>
      <w:r>
        <w:rPr>
          <w:rFonts w:ascii="宋体" w:hAnsi="宋体"/>
          <w:bCs/>
          <w:color w:val="000000"/>
          <w:sz w:val="24"/>
          <w:szCs w:val="24"/>
        </w:rPr>
        <w:t>在采购过程中符合要求的供应商或者报价未超过采购预算的供应商数量不符合法律法规要求的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4.在采购活动中因重大变故，采购任务取消的。</w:t>
      </w:r>
    </w:p>
    <w:p>
      <w:pPr>
        <w:spacing w:line="360" w:lineRule="auto"/>
      </w:pPr>
      <w:r>
        <w:rPr>
          <w:rFonts w:hint="eastAsia"/>
          <w:b/>
          <w:bCs/>
          <w:sz w:val="24"/>
          <w:szCs w:val="24"/>
        </w:rPr>
        <w:t>十一、签订、履行合同</w:t>
      </w:r>
    </w:p>
    <w:p>
      <w:pPr>
        <w:tabs>
          <w:tab w:val="left" w:pos="525"/>
          <w:tab w:val="left" w:pos="552"/>
          <w:tab w:val="left" w:pos="945"/>
          <w:tab w:val="left" w:pos="1050"/>
        </w:tabs>
        <w:spacing w:line="360" w:lineRule="auto"/>
        <w:ind w:firstLine="480" w:firstLineChars="200"/>
        <w:rPr>
          <w:rFonts w:ascii="宋体"/>
          <w:bCs/>
          <w:color w:val="000000" w:themeColor="text1"/>
          <w:sz w:val="24"/>
          <w:szCs w:val="24"/>
        </w:rPr>
      </w:pPr>
      <w:r>
        <w:rPr>
          <w:rFonts w:hint="eastAsia" w:ascii="宋体" w:hAnsi="宋体"/>
          <w:bCs/>
          <w:sz w:val="24"/>
          <w:szCs w:val="24"/>
        </w:rPr>
        <w:t>1.采购人应当自成交通知书发出之日起三十日内，按照采购文件和成交供应商响应文件的约定，与成交供应商签订书面合同。所</w:t>
      </w:r>
      <w:r>
        <w:rPr>
          <w:rFonts w:hint="eastAsia" w:ascii="宋体" w:hAnsi="宋体"/>
          <w:bCs/>
          <w:color w:val="000000" w:themeColor="text1"/>
          <w:sz w:val="24"/>
          <w:szCs w:val="24"/>
        </w:rPr>
        <w:t>签订的合同不得对采购文件和</w:t>
      </w:r>
      <w:r>
        <w:rPr>
          <w:rFonts w:hint="eastAsia" w:ascii="宋体" w:hAnsi="宋体"/>
          <w:bCs/>
          <w:sz w:val="24"/>
          <w:szCs w:val="24"/>
        </w:rPr>
        <w:t>成交</w:t>
      </w:r>
      <w:r>
        <w:rPr>
          <w:rFonts w:hint="eastAsia" w:ascii="宋体" w:hAnsi="宋体"/>
          <w:bCs/>
          <w:color w:val="000000" w:themeColor="text1"/>
          <w:sz w:val="24"/>
          <w:szCs w:val="24"/>
        </w:rPr>
        <w:t>供应商响应文件作实质性修改。采购人不得向</w:t>
      </w:r>
      <w:r>
        <w:rPr>
          <w:rFonts w:hint="eastAsia" w:ascii="宋体" w:hAnsi="宋体"/>
          <w:bCs/>
          <w:sz w:val="24"/>
          <w:szCs w:val="24"/>
        </w:rPr>
        <w:t>成交</w:t>
      </w:r>
      <w:r>
        <w:rPr>
          <w:rFonts w:hint="eastAsia" w:ascii="宋体" w:hAnsi="宋体"/>
          <w:bCs/>
          <w:color w:val="000000" w:themeColor="text1"/>
          <w:sz w:val="24"/>
          <w:szCs w:val="24"/>
        </w:rPr>
        <w:t>供应商提出任何不合理的要求，作为签订合同的条件，不得与</w:t>
      </w:r>
      <w:r>
        <w:rPr>
          <w:rFonts w:hint="eastAsia" w:ascii="宋体" w:hAnsi="宋体"/>
          <w:bCs/>
          <w:sz w:val="24"/>
          <w:szCs w:val="24"/>
        </w:rPr>
        <w:t>成交</w:t>
      </w:r>
      <w:r>
        <w:rPr>
          <w:rFonts w:hint="eastAsia" w:ascii="宋体" w:hAnsi="宋体"/>
          <w:bCs/>
          <w:color w:val="000000" w:themeColor="text1"/>
          <w:sz w:val="24"/>
          <w:szCs w:val="24"/>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bCs/>
          <w:sz w:val="24"/>
          <w:szCs w:val="24"/>
        </w:rPr>
      </w:pPr>
      <w:r>
        <w:rPr>
          <w:rFonts w:hint="eastAsia" w:ascii="宋体" w:hAnsi="宋体"/>
          <w:bCs/>
          <w:sz w:val="24"/>
          <w:szCs w:val="24"/>
        </w:rPr>
        <w:t>2.成交供应商</w:t>
      </w:r>
      <w:r>
        <w:rPr>
          <w:rFonts w:hint="eastAsia" w:ascii="宋体" w:hAnsi="宋体"/>
          <w:bCs/>
          <w:color w:val="000000" w:themeColor="text1"/>
          <w:sz w:val="24"/>
          <w:szCs w:val="24"/>
        </w:rPr>
        <w:t>非因不可抗力未履行采购文件、响应文件和合同规定的义务，一经查实，</w:t>
      </w:r>
      <w:r>
        <w:rPr>
          <w:rFonts w:hint="eastAsia" w:ascii="宋体" w:hAnsi="宋体"/>
          <w:sz w:val="24"/>
        </w:rPr>
        <w:t>采购代理机构</w:t>
      </w:r>
      <w:r>
        <w:rPr>
          <w:rFonts w:hint="eastAsia" w:ascii="宋体" w:hAnsi="宋体"/>
          <w:bCs/>
          <w:color w:val="000000" w:themeColor="text1"/>
          <w:sz w:val="24"/>
          <w:szCs w:val="24"/>
        </w:rPr>
        <w:t>将根据具体情况提</w:t>
      </w:r>
      <w:r>
        <w:rPr>
          <w:rFonts w:hint="eastAsia" w:ascii="宋体" w:hAnsi="宋体"/>
          <w:bCs/>
          <w:sz w:val="24"/>
          <w:szCs w:val="24"/>
        </w:rPr>
        <w:t>请政府采购管理部门作出相应处理。</w:t>
      </w:r>
    </w:p>
    <w:p>
      <w:pPr>
        <w:spacing w:line="360" w:lineRule="auto"/>
        <w:rPr>
          <w:b/>
          <w:bCs/>
          <w:sz w:val="24"/>
          <w:szCs w:val="24"/>
        </w:rPr>
      </w:pPr>
      <w:r>
        <w:rPr>
          <w:rFonts w:hint="eastAsia"/>
          <w:b/>
          <w:bCs/>
          <w:sz w:val="24"/>
          <w:szCs w:val="24"/>
        </w:rPr>
        <w:t>十二、注意事项</w:t>
      </w:r>
    </w:p>
    <w:p>
      <w:pPr>
        <w:tabs>
          <w:tab w:val="left" w:pos="945"/>
          <w:tab w:val="left" w:pos="1050"/>
        </w:tabs>
        <w:spacing w:line="360" w:lineRule="auto"/>
        <w:ind w:firstLine="480" w:firstLineChars="200"/>
        <w:rPr>
          <w:rFonts w:ascii="宋体" w:hAnsi="宋体"/>
          <w:color w:val="000000"/>
          <w:sz w:val="24"/>
          <w:szCs w:val="24"/>
        </w:rPr>
      </w:pPr>
      <w:r>
        <w:rPr>
          <w:rFonts w:hint="eastAsia" w:ascii="宋体" w:hAnsi="宋体"/>
          <w:bCs/>
          <w:color w:val="000000"/>
          <w:sz w:val="24"/>
          <w:szCs w:val="24"/>
        </w:rPr>
        <w:t>成交供应商有下列情形之一的，</w:t>
      </w:r>
      <w:r>
        <w:rPr>
          <w:rFonts w:hint="eastAsia" w:ascii="宋体" w:hAnsi="宋体"/>
          <w:color w:val="000000"/>
          <w:sz w:val="24"/>
          <w:szCs w:val="24"/>
        </w:rPr>
        <w:t>必须</w:t>
      </w:r>
      <w:r>
        <w:rPr>
          <w:rFonts w:ascii="宋体" w:hAnsi="宋体"/>
          <w:color w:val="000000"/>
          <w:sz w:val="24"/>
          <w:szCs w:val="24"/>
        </w:rPr>
        <w:t>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成交后无正当理由不与采购人签订合同的；</w:t>
      </w:r>
    </w:p>
    <w:p>
      <w:pPr>
        <w:tabs>
          <w:tab w:val="left" w:pos="315"/>
          <w:tab w:val="left" w:pos="735"/>
          <w:tab w:val="left" w:pos="1155"/>
        </w:tabs>
        <w:spacing w:line="360" w:lineRule="auto"/>
        <w:ind w:firstLine="480" w:firstLineChars="200"/>
        <w:rPr>
          <w:rFonts w:ascii="宋体" w:hAnsi="宋体"/>
          <w:bCs/>
          <w:color w:val="000000"/>
          <w:sz w:val="24"/>
          <w:szCs w:val="24"/>
        </w:rPr>
      </w:pPr>
      <w:r>
        <w:rPr>
          <w:rFonts w:hint="eastAsia" w:ascii="宋体" w:hAnsi="宋体"/>
          <w:color w:val="000000"/>
          <w:sz w:val="24"/>
          <w:szCs w:val="24"/>
        </w:rPr>
        <w:t>3.</w:t>
      </w:r>
      <w:r>
        <w:rPr>
          <w:rFonts w:hint="eastAsia" w:ascii="宋体" w:hAnsi="宋体"/>
          <w:bCs/>
          <w:color w:val="000000"/>
          <w:sz w:val="24"/>
          <w:szCs w:val="24"/>
        </w:rPr>
        <w:t>拒绝履行合同义务的。</w:t>
      </w:r>
    </w:p>
    <w:p>
      <w:pPr>
        <w:spacing w:line="360" w:lineRule="auto"/>
        <w:rPr>
          <w:b/>
          <w:bCs/>
          <w:sz w:val="24"/>
          <w:szCs w:val="24"/>
        </w:rPr>
      </w:pPr>
      <w:r>
        <w:rPr>
          <w:rFonts w:hint="eastAsia"/>
          <w:b/>
          <w:bCs/>
          <w:sz w:val="24"/>
          <w:szCs w:val="24"/>
        </w:rPr>
        <w:t>十三、成交服务费</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1、采购代理服务费收费标准为：</w:t>
      </w:r>
    </w:p>
    <w:p>
      <w:pPr>
        <w:adjustRightInd w:val="0"/>
        <w:spacing w:line="360" w:lineRule="auto"/>
        <w:ind w:firstLine="480" w:firstLineChars="200"/>
        <w:rPr>
          <w:rFonts w:ascii="宋体" w:hAnsi="宋体" w:eastAsia="宋体" w:cs="宋体"/>
          <w:sz w:val="24"/>
          <w:szCs w:val="24"/>
        </w:rPr>
      </w:pPr>
      <w:r>
        <w:rPr>
          <w:rFonts w:hint="eastAsia" w:ascii="宋体" w:hAnsi="宋体"/>
          <w:bCs/>
          <w:color w:val="000000"/>
          <w:sz w:val="24"/>
          <w:szCs w:val="24"/>
        </w:rPr>
        <w:t>（1）</w:t>
      </w:r>
      <w:r>
        <w:rPr>
          <w:rFonts w:hint="eastAsia" w:ascii="宋体" w:hAnsi="宋体" w:eastAsia="宋体" w:cs="宋体"/>
          <w:sz w:val="24"/>
          <w:szCs w:val="24"/>
        </w:rPr>
        <w:t>采购代理服务费用基数参照“苏招协</w:t>
      </w:r>
      <w:r>
        <w:rPr>
          <w:rFonts w:ascii="宋体" w:hAnsi="宋体" w:eastAsia="宋体" w:cs="宋体"/>
          <w:sz w:val="24"/>
          <w:szCs w:val="24"/>
        </w:rPr>
        <w:t>[2022]002</w:t>
      </w:r>
      <w:r>
        <w:rPr>
          <w:rFonts w:hint="eastAsia" w:ascii="宋体" w:hAnsi="宋体" w:eastAsia="宋体" w:cs="宋体"/>
          <w:sz w:val="24"/>
          <w:szCs w:val="24"/>
        </w:rPr>
        <w:t>号”收费标准按差额定率累进法计算，标准如下：</w:t>
      </w:r>
    </w:p>
    <w:tbl>
      <w:tblPr>
        <w:tblStyle w:val="31"/>
        <w:tblW w:w="6004" w:type="dxa"/>
        <w:jc w:val="center"/>
        <w:tblLayout w:type="autofit"/>
        <w:tblCellMar>
          <w:top w:w="0" w:type="dxa"/>
          <w:left w:w="108" w:type="dxa"/>
          <w:bottom w:w="0" w:type="dxa"/>
          <w:right w:w="108" w:type="dxa"/>
        </w:tblCellMar>
      </w:tblPr>
      <w:tblGrid>
        <w:gridCol w:w="4698"/>
        <w:gridCol w:w="1306"/>
      </w:tblGrid>
      <w:tr>
        <w:tblPrEx>
          <w:tblCellMar>
            <w:top w:w="0" w:type="dxa"/>
            <w:left w:w="108" w:type="dxa"/>
            <w:bottom w:w="0" w:type="dxa"/>
            <w:right w:w="108" w:type="dxa"/>
          </w:tblCellMar>
        </w:tblPrEx>
        <w:trPr>
          <w:trHeight w:val="420" w:hRule="atLeast"/>
          <w:jc w:val="center"/>
        </w:trPr>
        <w:tc>
          <w:tcPr>
            <w:tcW w:w="46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中标金额</w:t>
            </w:r>
          </w:p>
        </w:tc>
        <w:tc>
          <w:tcPr>
            <w:tcW w:w="130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服务招标</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w:t>
            </w:r>
            <w:r>
              <w:rPr>
                <w:rFonts w:hint="eastAsia" w:ascii="宋体" w:hAnsi="宋体" w:eastAsia="宋体" w:cs="宋体"/>
                <w:kern w:val="0"/>
                <w:sz w:val="24"/>
                <w:szCs w:val="24"/>
              </w:rPr>
              <w:t>万元以下（含</w:t>
            </w:r>
            <w:r>
              <w:rPr>
                <w:rFonts w:ascii="宋体" w:hAnsi="宋体" w:eastAsia="宋体" w:cs="宋体"/>
                <w:kern w:val="0"/>
                <w:sz w:val="24"/>
                <w:szCs w:val="24"/>
              </w:rPr>
              <w:t>50</w:t>
            </w:r>
            <w:r>
              <w:rPr>
                <w:rFonts w:hint="eastAsia" w:ascii="宋体" w:hAnsi="宋体" w:eastAsia="宋体" w:cs="宋体"/>
                <w:kern w:val="0"/>
                <w:sz w:val="24"/>
                <w:szCs w:val="24"/>
              </w:rPr>
              <w:t>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万元</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w:t>
            </w:r>
            <w:r>
              <w:rPr>
                <w:rFonts w:hint="eastAsia" w:ascii="宋体" w:hAnsi="宋体" w:eastAsia="宋体" w:cs="宋体"/>
                <w:kern w:val="0"/>
                <w:sz w:val="24"/>
                <w:szCs w:val="24"/>
              </w:rPr>
              <w:t>万元</w:t>
            </w:r>
            <w:r>
              <w:rPr>
                <w:rFonts w:ascii="宋体" w:hAnsi="宋体" w:eastAsia="宋体" w:cs="宋体"/>
                <w:kern w:val="0"/>
                <w:sz w:val="24"/>
                <w:szCs w:val="24"/>
              </w:rPr>
              <w:t>-400</w:t>
            </w:r>
            <w:r>
              <w:rPr>
                <w:rFonts w:hint="eastAsia" w:ascii="宋体" w:hAnsi="宋体" w:eastAsia="宋体" w:cs="宋体"/>
                <w:kern w:val="0"/>
                <w:sz w:val="24"/>
                <w:szCs w:val="24"/>
              </w:rPr>
              <w:t>万元（含</w:t>
            </w:r>
            <w:r>
              <w:rPr>
                <w:rFonts w:ascii="宋体" w:hAnsi="宋体" w:eastAsia="宋体" w:cs="宋体"/>
                <w:kern w:val="0"/>
                <w:sz w:val="24"/>
                <w:szCs w:val="24"/>
              </w:rPr>
              <w:t>400</w:t>
            </w:r>
            <w:r>
              <w:rPr>
                <w:rFonts w:hint="eastAsia" w:ascii="宋体" w:hAnsi="宋体" w:eastAsia="宋体" w:cs="宋体"/>
                <w:kern w:val="0"/>
                <w:sz w:val="24"/>
                <w:szCs w:val="24"/>
              </w:rPr>
              <w:t>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1.50%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400-1000</w:t>
            </w:r>
            <w:r>
              <w:rPr>
                <w:rFonts w:hint="eastAsia" w:ascii="宋体" w:hAnsi="宋体" w:eastAsia="宋体" w:cs="宋体"/>
                <w:kern w:val="0"/>
                <w:sz w:val="24"/>
                <w:szCs w:val="24"/>
              </w:rPr>
              <w:t>万元（含</w:t>
            </w:r>
            <w:r>
              <w:rPr>
                <w:rFonts w:ascii="宋体" w:hAnsi="宋体" w:eastAsia="宋体" w:cs="宋体"/>
                <w:kern w:val="0"/>
                <w:sz w:val="24"/>
                <w:szCs w:val="24"/>
              </w:rPr>
              <w:t>1000</w:t>
            </w:r>
            <w:r>
              <w:rPr>
                <w:rFonts w:hint="eastAsia" w:ascii="宋体" w:hAnsi="宋体" w:eastAsia="宋体" w:cs="宋体"/>
                <w:kern w:val="0"/>
                <w:sz w:val="24"/>
                <w:szCs w:val="24"/>
              </w:rPr>
              <w:t>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0.90%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1000-5000</w:t>
            </w:r>
            <w:r>
              <w:rPr>
                <w:rFonts w:hint="eastAsia" w:ascii="宋体" w:hAnsi="宋体" w:eastAsia="宋体" w:cs="宋体"/>
                <w:kern w:val="0"/>
                <w:sz w:val="24"/>
                <w:szCs w:val="24"/>
              </w:rPr>
              <w:t>万元（含</w:t>
            </w:r>
            <w:r>
              <w:rPr>
                <w:rFonts w:ascii="宋体" w:hAnsi="宋体" w:eastAsia="宋体" w:cs="宋体"/>
                <w:kern w:val="0"/>
                <w:sz w:val="24"/>
                <w:szCs w:val="24"/>
              </w:rPr>
              <w:t>5000</w:t>
            </w:r>
            <w:r>
              <w:rPr>
                <w:rFonts w:hint="eastAsia" w:ascii="宋体" w:hAnsi="宋体" w:eastAsia="宋体" w:cs="宋体"/>
                <w:kern w:val="0"/>
                <w:sz w:val="24"/>
                <w:szCs w:val="24"/>
              </w:rPr>
              <w:t>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0.45%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5000</w:t>
            </w:r>
            <w:r>
              <w:rPr>
                <w:rFonts w:hint="eastAsia" w:ascii="宋体" w:hAnsi="宋体" w:eastAsia="宋体" w:cs="宋体"/>
                <w:kern w:val="0"/>
                <w:sz w:val="24"/>
                <w:szCs w:val="24"/>
              </w:rPr>
              <w:t>万元</w:t>
            </w:r>
            <w:r>
              <w:rPr>
                <w:rFonts w:ascii="宋体" w:hAnsi="宋体" w:eastAsia="宋体" w:cs="宋体"/>
                <w:kern w:val="0"/>
                <w:sz w:val="24"/>
                <w:szCs w:val="24"/>
              </w:rPr>
              <w:t>-1</w:t>
            </w:r>
            <w:r>
              <w:rPr>
                <w:rFonts w:hint="eastAsia" w:ascii="宋体" w:hAnsi="宋体" w:eastAsia="宋体" w:cs="宋体"/>
                <w:kern w:val="0"/>
                <w:sz w:val="24"/>
                <w:szCs w:val="24"/>
              </w:rPr>
              <w:t>亿元（含</w:t>
            </w:r>
            <w:r>
              <w:rPr>
                <w:rFonts w:ascii="宋体" w:hAnsi="宋体" w:eastAsia="宋体" w:cs="宋体"/>
                <w:kern w:val="0"/>
                <w:sz w:val="24"/>
                <w:szCs w:val="24"/>
              </w:rPr>
              <w:t>1</w:t>
            </w:r>
            <w:r>
              <w:rPr>
                <w:rFonts w:hint="eastAsia" w:ascii="宋体" w:hAnsi="宋体" w:eastAsia="宋体" w:cs="宋体"/>
                <w:kern w:val="0"/>
                <w:sz w:val="24"/>
                <w:szCs w:val="24"/>
              </w:rPr>
              <w:t>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0.15%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1-10</w:t>
            </w:r>
            <w:r>
              <w:rPr>
                <w:rFonts w:hint="eastAsia" w:ascii="宋体" w:hAnsi="宋体" w:eastAsia="宋体" w:cs="宋体"/>
                <w:kern w:val="0"/>
                <w:sz w:val="24"/>
                <w:szCs w:val="24"/>
              </w:rPr>
              <w:t>亿元（含</w:t>
            </w:r>
            <w:r>
              <w:rPr>
                <w:rFonts w:ascii="宋体" w:hAnsi="宋体" w:eastAsia="宋体" w:cs="宋体"/>
                <w:kern w:val="0"/>
                <w:sz w:val="24"/>
                <w:szCs w:val="24"/>
              </w:rPr>
              <w:t>10</w:t>
            </w:r>
            <w:r>
              <w:rPr>
                <w:rFonts w:hint="eastAsia" w:ascii="宋体" w:hAnsi="宋体" w:eastAsia="宋体" w:cs="宋体"/>
                <w:kern w:val="0"/>
                <w:sz w:val="24"/>
                <w:szCs w:val="24"/>
              </w:rPr>
              <w:t>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0.05%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10-50</w:t>
            </w:r>
            <w:r>
              <w:rPr>
                <w:rFonts w:hint="eastAsia" w:ascii="宋体" w:hAnsi="宋体" w:eastAsia="宋体" w:cs="宋体"/>
                <w:kern w:val="0"/>
                <w:sz w:val="24"/>
                <w:szCs w:val="24"/>
              </w:rPr>
              <w:t>亿元（含</w:t>
            </w:r>
            <w:r>
              <w:rPr>
                <w:rFonts w:ascii="宋体" w:hAnsi="宋体" w:eastAsia="宋体" w:cs="宋体"/>
                <w:kern w:val="0"/>
                <w:sz w:val="24"/>
                <w:szCs w:val="24"/>
              </w:rPr>
              <w:t>50</w:t>
            </w:r>
            <w:r>
              <w:rPr>
                <w:rFonts w:hint="eastAsia" w:ascii="宋体" w:hAnsi="宋体" w:eastAsia="宋体" w:cs="宋体"/>
                <w:kern w:val="0"/>
                <w:sz w:val="24"/>
                <w:szCs w:val="24"/>
              </w:rPr>
              <w:t>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0.01%</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w:t>
            </w:r>
            <w:r>
              <w:rPr>
                <w:rFonts w:hint="eastAsia" w:ascii="宋体" w:hAnsi="宋体" w:eastAsia="宋体" w:cs="宋体"/>
                <w:kern w:val="0"/>
                <w:sz w:val="24"/>
                <w:szCs w:val="24"/>
              </w:rPr>
              <w:t>亿元以上</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0.005%</w:t>
            </w:r>
          </w:p>
        </w:tc>
      </w:tr>
    </w:tbl>
    <w:p>
      <w:pPr>
        <w:spacing w:line="360" w:lineRule="auto"/>
        <w:ind w:firstLine="523" w:firstLineChars="218"/>
        <w:rPr>
          <w:rFonts w:ascii="宋体" w:hAnsi="宋体"/>
          <w:bCs/>
          <w:sz w:val="24"/>
          <w:szCs w:val="24"/>
        </w:rPr>
      </w:pPr>
      <w:r>
        <w:rPr>
          <w:rFonts w:hint="eastAsia" w:ascii="宋体" w:hAnsi="宋体"/>
          <w:bCs/>
          <w:sz w:val="24"/>
          <w:szCs w:val="24"/>
        </w:rPr>
        <w:t>（2）招标代理服务费=按上述标准计算金额×中标折扣率（64.5%）。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（3）最低收费金额为5000元，按上述标准计算乘以中标折扣率后的服务费不足5000元的按5000元计算。</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3.公司账户信息</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单位名称：江苏仁禾中衡工程咨询房地产估价有限公司常州分公司</w:t>
      </w:r>
      <w:r>
        <w:rPr>
          <w:rFonts w:ascii="宋体" w:hAnsi="宋体"/>
          <w:bCs/>
          <w:sz w:val="24"/>
          <w:szCs w:val="24"/>
        </w:rPr>
        <w:t xml:space="preserve"> </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ascii="宋体" w:hAnsi="宋体"/>
          <w:bCs/>
          <w:sz w:val="24"/>
          <w:szCs w:val="24"/>
        </w:rPr>
        <w:br w:type="page"/>
      </w:r>
    </w:p>
    <w:p>
      <w:pPr>
        <w:pStyle w:val="121"/>
        <w:rPr>
          <w:rFonts w:ascii="宋体" w:hAnsi="宋体"/>
          <w:sz w:val="24"/>
          <w:szCs w:val="24"/>
        </w:rPr>
      </w:pPr>
      <w:bookmarkStart w:id="46" w:name="_Toc55147047"/>
      <w:bookmarkStart w:id="47" w:name="_Toc92976617"/>
      <w:r>
        <w:rPr>
          <w:rFonts w:hint="eastAsia"/>
        </w:rPr>
        <w:t>三．项目技术要求和有关说明</w:t>
      </w:r>
      <w:bookmarkEnd w:id="46"/>
      <w:bookmarkEnd w:id="47"/>
    </w:p>
    <w:p>
      <w:pPr>
        <w:tabs>
          <w:tab w:val="left" w:pos="525"/>
          <w:tab w:val="left" w:pos="552"/>
          <w:tab w:val="left" w:pos="945"/>
          <w:tab w:val="left" w:pos="1050"/>
        </w:tabs>
        <w:spacing w:line="360" w:lineRule="auto"/>
        <w:rPr>
          <w:rFonts w:ascii="宋体" w:hAnsi="宋体"/>
          <w:bCs/>
          <w:sz w:val="24"/>
          <w:szCs w:val="24"/>
        </w:rPr>
      </w:pPr>
      <w:bookmarkStart w:id="48" w:name="_Toc55147048"/>
      <w:bookmarkStart w:id="49" w:name="_Toc63173552"/>
      <w:bookmarkStart w:id="50" w:name="_Toc92976618"/>
      <w:bookmarkStart w:id="51" w:name="_Toc55147050"/>
      <w:r>
        <w:rPr>
          <w:rFonts w:ascii="宋体" w:hAnsi="宋体"/>
          <w:bCs/>
          <w:sz w:val="24"/>
          <w:szCs w:val="24"/>
        </w:rPr>
        <w:t>一、项目概况</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S239湟里收费站位于武进区湟里镇境内。收费站起于K49+729.000，终于K50+098.308，总长369.31m。其中水泥砼路面起于K49+804，终于K49+954，全长150m，其余为沥青砼路面。收费站于2022年10月底停止收费，本次对S239湟里收费站进行大棚拆除及路面恢复勘察设计。</w:t>
      </w:r>
    </w:p>
    <w:p>
      <w:pPr>
        <w:spacing w:line="360" w:lineRule="auto"/>
        <w:rPr>
          <w:rFonts w:asciiTheme="minorEastAsia" w:hAnsiTheme="minorEastAsia"/>
          <w:sz w:val="24"/>
          <w:szCs w:val="24"/>
        </w:rPr>
      </w:pPr>
      <w:r>
        <w:rPr>
          <w:rFonts w:hint="eastAsia" w:ascii="宋体" w:hAnsi="宋体"/>
          <w:bCs/>
          <w:sz w:val="24"/>
          <w:szCs w:val="24"/>
        </w:rPr>
        <w:t>二、</w:t>
      </w:r>
      <w:r>
        <w:rPr>
          <w:rFonts w:hint="eastAsia" w:asciiTheme="minorEastAsia" w:hAnsiTheme="minorEastAsia"/>
          <w:sz w:val="24"/>
          <w:szCs w:val="24"/>
        </w:rPr>
        <w:t>适用规范标准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在设计过程中，如果国家或有关部门颁布了新的技术标准或规范，则设计人应采用新的标准或规范进行。</w:t>
      </w:r>
    </w:p>
    <w:p>
      <w:pPr>
        <w:wordWrap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设计人在设计工作中必须使用中华人民共和国《工程建设标准强制性条文》</w:t>
      </w:r>
      <w:r>
        <w:rPr>
          <w:rFonts w:asciiTheme="minorEastAsia" w:hAnsiTheme="minorEastAsia"/>
          <w:bCs/>
          <w:sz w:val="24"/>
          <w:szCs w:val="24"/>
        </w:rPr>
        <w:t>(</w:t>
      </w:r>
      <w:r>
        <w:rPr>
          <w:rFonts w:hint="eastAsia" w:asciiTheme="minorEastAsia" w:hAnsiTheme="minorEastAsia"/>
          <w:bCs/>
          <w:sz w:val="24"/>
          <w:szCs w:val="24"/>
        </w:rPr>
        <w:t>公路工程部分</w:t>
      </w:r>
      <w:r>
        <w:rPr>
          <w:rFonts w:asciiTheme="minorEastAsia" w:hAnsiTheme="minorEastAsia"/>
          <w:bCs/>
          <w:sz w:val="24"/>
          <w:szCs w:val="24"/>
        </w:rPr>
        <w:t>)</w:t>
      </w:r>
      <w:r>
        <w:rPr>
          <w:rFonts w:hint="eastAsia" w:asciiTheme="minorEastAsia" w:hAnsiTheme="minorEastAsia"/>
          <w:bCs/>
          <w:sz w:val="24"/>
          <w:szCs w:val="24"/>
        </w:rPr>
        <w:t>和下述标准、规范</w:t>
      </w:r>
      <w:r>
        <w:rPr>
          <w:rFonts w:asciiTheme="minorEastAsia" w:hAnsiTheme="minorEastAsia"/>
          <w:bCs/>
          <w:sz w:val="24"/>
          <w:szCs w:val="24"/>
        </w:rPr>
        <w:t>(</w:t>
      </w:r>
      <w:r>
        <w:rPr>
          <w:rFonts w:hint="eastAsia" w:asciiTheme="minorEastAsia" w:hAnsiTheme="minorEastAsia"/>
          <w:bCs/>
          <w:sz w:val="24"/>
          <w:szCs w:val="24"/>
        </w:rPr>
        <w:t>不限于</w:t>
      </w:r>
      <w:r>
        <w:rPr>
          <w:rFonts w:asciiTheme="minorEastAsia" w:hAnsiTheme="minorEastAsia"/>
          <w:bCs/>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1.(JTGB01-2014) 《公路工程技术标准》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 (JTJ002-87) 《公路工程名词术语》</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 (JTJ003-86) 《公路自然区划标准》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 (JTG/TB02-01-2008) 《公路桥梁抗震设计细则》</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 (JTGB03-2006) 《公路建设项目环境影响评价规范》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6. (JTGB04-2010) 《公路环境保护设计规范》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7. (JTGC10-2007) 《公路勘测规范》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8. (JTGC20-2011) 《公路工程地质勘察规范》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9. (JTGC30-2015) 《公路工程水文勘测设计规范》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10. (JTGE40-2007) 《公路土工试验规程》</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11. (JTGD20-2017) 《公路路线设计规范》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12. (JTG/TD21-2014) 《公路立体交叉设计细则》</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13. (JTGD30-2015) 《公路路基设计规范》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14. (JTGD50-2017) 《公路沥青路面设计规范》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15. (JTGD40-2011)《公路水泥混凝土路面设计规范》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16. (JTG/TD33-2012) 《公路排水设计规范》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17. (JTGD60-2015) 《公路桥涵设计通用规范》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18. (JTGD61-2005) 《公路圬工桥涵设计规范》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19. (JTGD62-2004) 《公路钢筋混凝土及预应力混凝土桥涵设计规范》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20. (JTGD63-2007)《公路桥涵地基与基础设计规范》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21. (JTGD64-2015) 《公路钢结构桥梁设计规范》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22. (JTGD70-2018) 《公路隧道设计规范》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23. (JTGD70/2-2014) 《公路隧道设计规范第二册交通工程与附属设施》</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24. (JTG/TD70/2-01-2014) 《公路隧道照明设计细则》</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25. (JTG/TD70/2-02-2014) 《公路隧道通风设计细则》44</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26. (JTGD81-2017) 《公路交通安全设施设计规范》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27. (JTG/TD81—2017) 《公路交通安全设施设计细则》</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28. (JTG/TB07-01-2006) 《公路工程混凝土结构防腐蚀技术规范》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29. (JTGB05-2015) 《公路项目安全性评价规范》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30. (GB/T 50283-99) 《公路工程结构可靠度设计统一标准》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31. (GB 50162-92) 《道路工程制图标准》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32. (交公路发[2007]358 号) 《公路工程基本建设项目设计文件编制办法》</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33. (JTG 3831-2018) 《公路工程基本建设项目概算预算编制办法》</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34. (JTG/T 3831-2018) 《公路工程概算定额》</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35. (JTG/T 3832-2018) 《公路工程预算定额》</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36. (JTG/T 3832-2018) 《公路工程机械台班费用定额》</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37. (建标[1999]278 号） 《公路建设项目用地指标》</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38. (CESC09-89) 《工业企业程控用户交换机设计规范》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39. (YD 2002-92) 《长途通信干线电缆线路工程设计规范》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40. (YD5102-2010 ) 《通信线路工程设计规范》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41. (YDJ 44-89) 《电信网光纤数字传输系统工程施工及验收暂行技术 规定》</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42. (GB50689-2011) 《通信局（站）防雷与接地设计工程技术规定》</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43. (GB 50374-2006) 《通信管道工程施工及验收技术规范》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44. (GB 50198-2011) 《民用闭路监视电视系统工程技术规范》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45. (GB 50174-2008) 《电子信息系统机房设计规范》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46. (ITU-T) 《国际电工协会系列标准》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47. (GB50057-2010) 《建筑物防雷设计规范》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48. (JGJ 16-2008) 《民用建筑电气设计规范》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49. (YDJ9-90) 《市内通信全塑电缆线路工程设计规范》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50. (YD 5121-2010) 《通信线路工程验收规范》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51. (GB 50168-2006) 《电气装置安装工程电缆线路施工及验收规范》</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52. (JTG/TC10-2007) 《公路勘测细则》</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53. (GB/T 20257.1-2007) "《1: 500 1: 1000 1: 2000 地形图图式》"</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54. (GB/T 13923-2006) 《基础地理信息要素分类与代码》</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55. (CH 1003-95) 《测绘产品质量评定标准》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56. (CH 1002-95) 《测绘产品检查验收规定》</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57. (GB/T 18316-2008) 《数字测绘成果质量检查与验收》</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58. (建质[2008] 216 号） 《建筑工程设计文件编制深度规定》</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59.(JTG/T 3360-02-2020)《公路桥梁抗撞设计规范》</w:t>
      </w:r>
    </w:p>
    <w:p>
      <w:pPr>
        <w:tabs>
          <w:tab w:val="left" w:pos="525"/>
          <w:tab w:val="left" w:pos="552"/>
          <w:tab w:val="left" w:pos="945"/>
          <w:tab w:val="left" w:pos="1050"/>
        </w:tabs>
        <w:spacing w:line="360" w:lineRule="auto"/>
        <w:rPr>
          <w:rFonts w:ascii="宋体" w:hAnsi="宋体"/>
          <w:bCs/>
          <w:sz w:val="24"/>
          <w:szCs w:val="24"/>
        </w:rPr>
      </w:pPr>
      <w:r>
        <w:rPr>
          <w:rFonts w:hint="eastAsia" w:ascii="宋体" w:hAnsi="宋体"/>
          <w:bCs/>
          <w:sz w:val="24"/>
          <w:szCs w:val="24"/>
        </w:rPr>
        <w:t>三、报价说明：</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（1）本项目最高限价为人民币9万元。供应商根据竞争性磋商文件的要求报价，并填写报价书，报价应以人民币报价，计量单位应采用中华人民共和国法定计量单位。</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2）供应商的投标报价费用应包括本项目设计所需的调查费、劳务费、咨询费、勘察费（包括用于购买地形图等一切费用）、设计费、审查费、会务费、出版费、研究费、管理费、利润以及税金等完成本项目全过程的一切费用，以及后期服务的费用。</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 xml:space="preserve">（3）合同价款确定方式：固定总价合同。 </w:t>
      </w:r>
    </w:p>
    <w:p>
      <w:pPr>
        <w:tabs>
          <w:tab w:val="left" w:pos="525"/>
          <w:tab w:val="left" w:pos="552"/>
          <w:tab w:val="left" w:pos="945"/>
          <w:tab w:val="left" w:pos="1050"/>
        </w:tabs>
        <w:spacing w:line="360" w:lineRule="auto"/>
        <w:rPr>
          <w:rFonts w:ascii="宋体" w:hAnsi="宋体"/>
          <w:bCs/>
          <w:sz w:val="24"/>
          <w:szCs w:val="24"/>
        </w:rPr>
      </w:pPr>
      <w:r>
        <w:rPr>
          <w:rFonts w:hint="eastAsia" w:ascii="宋体" w:hAnsi="宋体"/>
          <w:bCs/>
          <w:sz w:val="24"/>
          <w:szCs w:val="24"/>
        </w:rPr>
        <w:t>四、合同履行期限</w:t>
      </w:r>
    </w:p>
    <w:p>
      <w:pPr>
        <w:tabs>
          <w:tab w:val="left" w:pos="525"/>
          <w:tab w:val="left" w:pos="552"/>
          <w:tab w:val="left" w:pos="945"/>
          <w:tab w:val="left" w:pos="1050"/>
        </w:tabs>
        <w:spacing w:line="360" w:lineRule="auto"/>
        <w:ind w:firstLine="488" w:firstLineChars="200"/>
        <w:rPr>
          <w:rFonts w:ascii="宋体" w:hAnsi="宋体" w:cs="宋体"/>
          <w:spacing w:val="2"/>
          <w:sz w:val="24"/>
        </w:rPr>
      </w:pPr>
      <w:r>
        <w:rPr>
          <w:rFonts w:hint="eastAsia" w:ascii="宋体" w:hAnsi="宋体" w:cs="宋体"/>
          <w:spacing w:val="2"/>
          <w:sz w:val="24"/>
        </w:rPr>
        <w:t>2023年1月31日前完成前完成施工图设计及审查。</w:t>
      </w:r>
    </w:p>
    <w:p>
      <w:pPr>
        <w:tabs>
          <w:tab w:val="left" w:pos="525"/>
          <w:tab w:val="left" w:pos="552"/>
          <w:tab w:val="left" w:pos="945"/>
          <w:tab w:val="left" w:pos="1050"/>
        </w:tabs>
        <w:spacing w:line="360" w:lineRule="auto"/>
        <w:rPr>
          <w:rFonts w:hint="eastAsia" w:ascii="宋体" w:hAnsi="宋体"/>
          <w:bCs/>
          <w:sz w:val="24"/>
          <w:szCs w:val="24"/>
        </w:rPr>
      </w:pPr>
      <w:r>
        <w:rPr>
          <w:rFonts w:hint="eastAsia" w:ascii="宋体" w:hAnsi="宋体"/>
          <w:bCs/>
          <w:sz w:val="24"/>
          <w:szCs w:val="24"/>
        </w:rPr>
        <w:t>五、付款方式</w:t>
      </w:r>
    </w:p>
    <w:p>
      <w:pPr>
        <w:tabs>
          <w:tab w:val="left" w:pos="525"/>
          <w:tab w:val="left" w:pos="552"/>
          <w:tab w:val="left" w:pos="945"/>
          <w:tab w:val="left" w:pos="1050"/>
        </w:tabs>
        <w:spacing w:line="360" w:lineRule="auto"/>
        <w:ind w:firstLine="488" w:firstLineChars="200"/>
        <w:rPr>
          <w:rFonts w:ascii="黑体" w:hAnsi="黑体" w:eastAsia="黑体" w:cs="Times New Roman"/>
          <w:bCs/>
          <w:kern w:val="0"/>
          <w:sz w:val="28"/>
          <w:szCs w:val="24"/>
        </w:rPr>
      </w:pPr>
      <w:r>
        <w:rPr>
          <w:rFonts w:hint="eastAsia" w:ascii="宋体" w:hAnsi="宋体" w:cs="宋体"/>
          <w:spacing w:val="2"/>
          <w:sz w:val="24"/>
        </w:rPr>
        <w:t>完成S239湟里收费站大棚拆除及路面恢复工程勘察设计工作后支付不低于合同约定价款的80%，项目缺陷责任期结束后结清余款（不计利息）。</w:t>
      </w:r>
      <w:r>
        <w:rPr>
          <w:szCs w:val="24"/>
        </w:rPr>
        <w:br w:type="page"/>
      </w:r>
    </w:p>
    <w:p>
      <w:pPr>
        <w:pStyle w:val="121"/>
      </w:pPr>
      <w:r>
        <w:rPr>
          <w:rFonts w:hint="eastAsia"/>
          <w:bCs w:val="0"/>
        </w:rPr>
        <w:t>四．</w:t>
      </w:r>
      <w:bookmarkEnd w:id="48"/>
      <w:r>
        <w:rPr>
          <w:rFonts w:hint="eastAsia"/>
          <w:bCs w:val="0"/>
        </w:rPr>
        <w:t>合同条款及格式</w:t>
      </w:r>
      <w:bookmarkEnd w:id="49"/>
      <w:bookmarkEnd w:id="50"/>
    </w:p>
    <w:p>
      <w:pPr>
        <w:autoSpaceDE w:val="0"/>
        <w:autoSpaceDN w:val="0"/>
        <w:spacing w:line="360" w:lineRule="auto"/>
        <w:jc w:val="center"/>
        <w:rPr>
          <w:rFonts w:ascii="宋体" w:hAnsi="宋体" w:eastAsia="宋体" w:cs="Times New Roman"/>
          <w:b/>
          <w:sz w:val="24"/>
          <w:szCs w:val="24"/>
        </w:rPr>
      </w:pPr>
      <w:r>
        <w:rPr>
          <w:rFonts w:hint="eastAsia" w:ascii="宋体" w:hAnsi="宋体" w:eastAsia="宋体" w:cs="Times New Roman"/>
          <w:b/>
          <w:sz w:val="32"/>
          <w:szCs w:val="32"/>
        </w:rPr>
        <w:t>合同协议书</w:t>
      </w:r>
    </w:p>
    <w:p>
      <w:pPr>
        <w:autoSpaceDE w:val="0"/>
        <w:autoSpaceDN w:val="0"/>
        <w:spacing w:line="360" w:lineRule="auto"/>
        <w:ind w:left="420"/>
        <w:jc w:val="center"/>
        <w:rPr>
          <w:rFonts w:ascii="宋体" w:hAnsi="宋体" w:eastAsia="宋体" w:cs="Times New Roman"/>
          <w:b/>
          <w:sz w:val="24"/>
          <w:szCs w:val="24"/>
        </w:rPr>
      </w:pPr>
    </w:p>
    <w:p>
      <w:pPr>
        <w:tabs>
          <w:tab w:val="left" w:pos="1260"/>
        </w:tabs>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4"/>
        </w:rPr>
        <w:t>鉴于采购人拟开展</w:t>
      </w:r>
      <w:r>
        <w:rPr>
          <w:rFonts w:hint="eastAsia" w:ascii="宋体" w:hAnsi="宋体" w:eastAsia="宋体" w:cs="Times New Roman"/>
          <w:szCs w:val="24"/>
          <w:u w:val="single"/>
        </w:rPr>
        <w:t>S239湟里收费站大棚拆除及路面恢复工程勘察设计项目</w:t>
      </w:r>
      <w:r>
        <w:rPr>
          <w:rFonts w:hint="eastAsia" w:ascii="宋体" w:hAnsi="宋体" w:eastAsia="宋体" w:cs="Times New Roman"/>
          <w:szCs w:val="24"/>
        </w:rPr>
        <w:t>工作，并接受了供应商对该项目的响应文件，现由</w:t>
      </w:r>
      <w:r>
        <w:rPr>
          <w:rFonts w:hint="eastAsia" w:ascii="宋体" w:hAnsi="宋体" w:eastAsia="宋体" w:cs="Times New Roman"/>
          <w:szCs w:val="24"/>
          <w:u w:val="single"/>
        </w:rPr>
        <w:t>常州市公路事业发展中心</w:t>
      </w:r>
      <w:r>
        <w:rPr>
          <w:rFonts w:hint="eastAsia" w:ascii="宋体" w:hAnsi="宋体" w:eastAsia="宋体" w:cs="Times New Roman"/>
          <w:szCs w:val="24"/>
        </w:rPr>
        <w:t>（下称“采购人”）为一方和</w:t>
      </w:r>
      <w:r>
        <w:rPr>
          <w:rFonts w:hint="eastAsia" w:ascii="宋体" w:hAnsi="宋体" w:eastAsia="宋体" w:cs="Times New Roman"/>
          <w:szCs w:val="24"/>
          <w:u w:val="single"/>
        </w:rPr>
        <w:t xml:space="preserve">     （</w:t>
      </w:r>
      <w:r>
        <w:rPr>
          <w:rFonts w:hint="eastAsia" w:ascii="宋体" w:hAnsi="宋体" w:eastAsia="宋体" w:cs="Times New Roman"/>
          <w:szCs w:val="24"/>
        </w:rPr>
        <w:t>下称“供应商”）为另一方于2023年</w:t>
      </w:r>
      <w:r>
        <w:rPr>
          <w:rFonts w:hint="eastAsia" w:ascii="宋体" w:hAnsi="宋体" w:eastAsia="宋体" w:cs="Times New Roman"/>
          <w:szCs w:val="24"/>
          <w:u w:val="single"/>
        </w:rPr>
        <w:t xml:space="preserve">     </w:t>
      </w:r>
      <w:r>
        <w:rPr>
          <w:rFonts w:hint="eastAsia" w:ascii="宋体" w:hAnsi="宋体" w:eastAsia="宋体" w:cs="Times New Roman"/>
          <w:szCs w:val="24"/>
        </w:rPr>
        <w:t>月</w:t>
      </w:r>
      <w:r>
        <w:rPr>
          <w:rFonts w:hint="eastAsia" w:ascii="宋体" w:hAnsi="宋体" w:eastAsia="宋体" w:cs="Times New Roman"/>
          <w:szCs w:val="24"/>
          <w:u w:val="single"/>
        </w:rPr>
        <w:t xml:space="preserve">     </w:t>
      </w:r>
      <w:r>
        <w:rPr>
          <w:rFonts w:hint="eastAsia" w:ascii="宋体" w:hAnsi="宋体" w:eastAsia="宋体" w:cs="Times New Roman"/>
          <w:szCs w:val="24"/>
        </w:rPr>
        <w:t>日共同签订本协议如下：</w:t>
      </w:r>
    </w:p>
    <w:p>
      <w:pPr>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一、项目概况及内容</w:t>
      </w:r>
    </w:p>
    <w:p>
      <w:pPr>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S239湟里收费站位于武进区湟里镇境内。收费站起于K49+729.000，终于K50+098.308，总长369.31m。其中水泥砼路面起于K49+804，终于K49+954，全长150m，其余为沥青砼路面。收费站于2022年10月底停止收费，本次对S239湟里收费站进行大棚拆除及路面恢复勘察设计。</w:t>
      </w:r>
    </w:p>
    <w:p>
      <w:pPr>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计划服务期：2023年1月31日前完成前完成施工图设计及审查。</w:t>
      </w:r>
    </w:p>
    <w:p>
      <w:pPr>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二、下列文件应作为本合同的组成部分</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⑴</w:t>
      </w:r>
      <w:r>
        <w:rPr>
          <w:rFonts w:ascii="宋体" w:hAnsi="宋体" w:eastAsia="宋体" w:cs="Times New Roman"/>
          <w:szCs w:val="24"/>
        </w:rPr>
        <w:t xml:space="preserve"> 本合同协议书及附件（含合同谈判中澄清文件）；</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⑵</w:t>
      </w:r>
      <w:r>
        <w:rPr>
          <w:rFonts w:ascii="宋体" w:hAnsi="宋体" w:eastAsia="宋体" w:cs="Times New Roman"/>
          <w:szCs w:val="24"/>
        </w:rPr>
        <w:t xml:space="preserve"> 成交通知书；</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⑶ 磋商</w:t>
      </w:r>
      <w:r>
        <w:rPr>
          <w:rFonts w:ascii="宋体" w:hAnsi="宋体" w:eastAsia="宋体" w:cs="Times New Roman"/>
          <w:szCs w:val="24"/>
        </w:rPr>
        <w:t>响应文件（</w:t>
      </w:r>
      <w:r>
        <w:rPr>
          <w:rFonts w:hint="eastAsia" w:ascii="宋体" w:hAnsi="宋体" w:eastAsia="宋体" w:cs="Times New Roman"/>
          <w:szCs w:val="24"/>
        </w:rPr>
        <w:t>含供应商在磋商期间递交和确认并经采购人同意的对有关问题的补充资料和澄清文件等，如果有</w:t>
      </w:r>
      <w:r>
        <w:rPr>
          <w:rFonts w:ascii="宋体" w:hAnsi="宋体" w:eastAsia="宋体" w:cs="Times New Roman"/>
          <w:szCs w:val="24"/>
        </w:rPr>
        <w:t>）</w:t>
      </w:r>
      <w:r>
        <w:rPr>
          <w:rFonts w:hint="eastAsia" w:ascii="宋体" w:hAnsi="宋体" w:eastAsia="宋体" w:cs="Times New Roman"/>
          <w:szCs w:val="24"/>
        </w:rPr>
        <w:t>；</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⑷</w:t>
      </w:r>
      <w:r>
        <w:rPr>
          <w:rFonts w:ascii="宋体" w:hAnsi="宋体" w:eastAsia="宋体" w:cs="Times New Roman"/>
          <w:szCs w:val="24"/>
        </w:rPr>
        <w:t xml:space="preserve"> 合同条款（含补遗书中与此有关部分，如果有）；</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⑸</w:t>
      </w:r>
      <w:r>
        <w:rPr>
          <w:rFonts w:ascii="宋体" w:hAnsi="宋体" w:eastAsia="宋体" w:cs="Times New Roman"/>
          <w:szCs w:val="24"/>
        </w:rPr>
        <w:t xml:space="preserve"> 投标人须知（含补遗书中与此有关部分，如果有）；</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⑹ 磋商</w:t>
      </w:r>
      <w:r>
        <w:rPr>
          <w:rFonts w:ascii="宋体" w:hAnsi="宋体" w:eastAsia="宋体" w:cs="Times New Roman"/>
          <w:szCs w:val="24"/>
        </w:rPr>
        <w:t>响应文件其它组成部分；</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⑺</w:t>
      </w:r>
      <w:r>
        <w:rPr>
          <w:rFonts w:ascii="宋体" w:hAnsi="宋体" w:eastAsia="宋体" w:cs="Times New Roman"/>
          <w:szCs w:val="24"/>
        </w:rPr>
        <w:t xml:space="preserve"> 构成本合同组成部分的其他文件。</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三、上述文件均指适用于本合同的文件，并将互相补充，若有不明确或不一致之处，以上述顺序在先者为准。</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四、本项目为固定总价合同，本合同中标价为</w:t>
      </w:r>
      <w:r>
        <w:rPr>
          <w:rFonts w:hint="eastAsia" w:ascii="宋体" w:hAnsi="宋体" w:eastAsia="宋体" w:cs="Times New Roman"/>
          <w:szCs w:val="24"/>
          <w:u w:val="single"/>
        </w:rPr>
        <w:t>人民币      元整（¥       ）</w:t>
      </w:r>
      <w:r>
        <w:rPr>
          <w:rFonts w:hint="eastAsia" w:ascii="宋体" w:hAnsi="宋体" w:eastAsia="宋体" w:cs="宋体"/>
          <w:kern w:val="20"/>
          <w:u w:val="single"/>
        </w:rPr>
        <w:t>。</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 xml:space="preserve">五、项目负责人： </w:t>
      </w:r>
    </w:p>
    <w:p>
      <w:pPr>
        <w:snapToGrid w:val="0"/>
        <w:spacing w:line="360" w:lineRule="auto"/>
        <w:ind w:firstLine="420" w:firstLineChars="200"/>
        <w:rPr>
          <w:rFonts w:ascii="宋体" w:hAnsi="宋体" w:eastAsia="宋体" w:cs="Times New Roman"/>
          <w:szCs w:val="24"/>
          <w:u w:val="single"/>
        </w:rPr>
      </w:pPr>
      <w:r>
        <w:rPr>
          <w:rFonts w:hint="eastAsia" w:ascii="宋体" w:hAnsi="宋体" w:eastAsia="宋体" w:cs="Times New Roman"/>
          <w:szCs w:val="24"/>
        </w:rPr>
        <w:t>六、作为对本合同工程的实施和完成的报酬，采购人在此立约，保证按照合同文件规定的时间和方式向供应商支付合同价款，支付方式：</w:t>
      </w:r>
      <w:r>
        <w:rPr>
          <w:rFonts w:hint="eastAsia" w:ascii="宋体" w:hAnsi="宋体" w:eastAsia="宋体" w:cs="Times New Roman"/>
          <w:szCs w:val="24"/>
          <w:u w:val="single"/>
        </w:rPr>
        <w:t>完成S239湟里收费站大棚拆除及路面恢复工程勘察设计工作后支付不低于合同约定价款的80%，项目缺陷责任期结束后结清余款（不计利息）。</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七、双方的责任</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1、采购人责任：</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（1）供应商人员在现场工作期间，采购人应协助解决有关事宜；</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（2）按合同约定如期拨款。</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2、供应商责任：</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（1）根据双方约定，供应商按期向采购人提交全套设计文件贰份；</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（2）严格执行现行的国家、部颁及省市有关标准、规范和规定。</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八、违约责任</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1、采购人违约：</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（1）由于采购人原因提出变更、未按期提供必要的协助或工作条件而造成返工、窝工或修改，采购人应按供应商实际消耗的工作量增付费用。</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（2）超过合同规定的日期付费时，应偿付逾期违约金，按每逾期一天增付相应咨询服务费的0.3‰计算。</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2、供应商违约：</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（1）因设计服务质量低劣引起的工期延误、返工或因供应商原因未按期提供设计服务，由供应商继续完善并视造成损失的大小减收或免收服务费。</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（2）未按合同规定期限提交设计成果，每拖延一天，应向采购人交纳相应设计服务费0.3‰的违约金，并在采购人支付费用时扣减。拖延时间超过30日，采购人有权解除合同，并不支付服务费。</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九、其它</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1、因本合同引起的或与本合同有关的争议，双方协商解决，协商不成的双方同意提交常州仲裁委员会按其仲裁规则仲裁，裁决是终局的，对双方均具有约束力。</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2、经双方同意并签字的有效文件均作为本合同的附件。</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3、本合同双方签字后生效，供应商完成委托工作并提交文件，采购人向供应商结清费用后失效。</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4、因不可抗力影响正常工作时，工期顺延，双方均不承担责任。</w:t>
      </w:r>
    </w:p>
    <w:p>
      <w:pPr>
        <w:tabs>
          <w:tab w:val="left" w:pos="1260"/>
        </w:tabs>
        <w:snapToGri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5、本合同正本一式两份，双方各执一份，副本一式四份，双方各执两份。</w:t>
      </w:r>
    </w:p>
    <w:p>
      <w:pPr>
        <w:tabs>
          <w:tab w:val="left" w:pos="1260"/>
        </w:tabs>
        <w:spacing w:line="312" w:lineRule="auto"/>
        <w:rPr>
          <w:rFonts w:ascii="宋体" w:hAnsi="宋体" w:eastAsia="宋体" w:cs="Times New Roman"/>
          <w:szCs w:val="24"/>
        </w:rPr>
      </w:pPr>
    </w:p>
    <w:p>
      <w:pPr>
        <w:tabs>
          <w:tab w:val="left" w:pos="1260"/>
        </w:tabs>
        <w:spacing w:line="312" w:lineRule="auto"/>
        <w:rPr>
          <w:rFonts w:ascii="宋体" w:hAnsi="宋体" w:eastAsia="宋体" w:cs="Times New Roman"/>
          <w:szCs w:val="24"/>
        </w:rPr>
      </w:pP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pacing w:val="-8"/>
          <w:szCs w:val="24"/>
        </w:rPr>
        <w:t>采购人</w:t>
      </w:r>
      <w:r>
        <w:rPr>
          <w:rFonts w:hint="eastAsia" w:ascii="宋体" w:hAnsi="宋体" w:eastAsia="宋体" w:cs="Times New Roman"/>
          <w:szCs w:val="24"/>
        </w:rPr>
        <w:t>：</w:t>
      </w:r>
      <w:r>
        <w:rPr>
          <w:rFonts w:hint="eastAsia" w:ascii="宋体" w:hAnsi="宋体" w:eastAsia="宋体" w:cs="Times New Roman"/>
          <w:szCs w:val="24"/>
          <w:u w:val="single"/>
        </w:rPr>
        <w:t xml:space="preserve">常州市公路事业发展中心（盖章） </w:t>
      </w:r>
      <w:r>
        <w:rPr>
          <w:rFonts w:hint="eastAsia" w:ascii="宋体" w:hAnsi="宋体" w:eastAsia="宋体" w:cs="Times New Roman"/>
          <w:szCs w:val="24"/>
        </w:rPr>
        <w:t xml:space="preserve">         </w:t>
      </w:r>
      <w:r>
        <w:rPr>
          <w:rFonts w:hint="eastAsia" w:ascii="宋体" w:hAnsi="宋体" w:eastAsia="宋体" w:cs="Times New Roman"/>
          <w:spacing w:val="-8"/>
          <w:szCs w:val="24"/>
        </w:rPr>
        <w:t>供应商</w:t>
      </w:r>
      <w:r>
        <w:rPr>
          <w:rFonts w:hint="eastAsia" w:ascii="宋体" w:hAnsi="宋体" w:eastAsia="宋体" w:cs="Times New Roman"/>
          <w:szCs w:val="24"/>
        </w:rPr>
        <w:t>：</w:t>
      </w:r>
      <w:r>
        <w:rPr>
          <w:rFonts w:hint="eastAsia" w:ascii="宋体" w:hAnsi="宋体" w:eastAsia="宋体" w:cs="Times New Roman"/>
          <w:szCs w:val="24"/>
          <w:u w:val="single"/>
        </w:rPr>
        <w:t xml:space="preserve"> （盖章）</w:t>
      </w: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法定代表人                                      法定代表人</w:t>
      </w: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zCs w:val="24"/>
        </w:rPr>
        <w:t>或其授权的代理人：</w:t>
      </w:r>
      <w:r>
        <w:rPr>
          <w:rFonts w:hint="eastAsia" w:ascii="宋体" w:hAnsi="宋体" w:eastAsia="宋体" w:cs="Times New Roman"/>
          <w:szCs w:val="24"/>
          <w:u w:val="single"/>
        </w:rPr>
        <w:t xml:space="preserve">           （签字） </w:t>
      </w:r>
      <w:r>
        <w:rPr>
          <w:rFonts w:hint="eastAsia" w:ascii="宋体" w:hAnsi="宋体" w:eastAsia="宋体" w:cs="Times New Roman"/>
          <w:szCs w:val="24"/>
        </w:rPr>
        <w:t xml:space="preserve">          或其授权的代理人：</w:t>
      </w:r>
      <w:r>
        <w:rPr>
          <w:rFonts w:hint="eastAsia" w:ascii="宋体" w:hAnsi="宋体" w:eastAsia="宋体" w:cs="Times New Roman"/>
          <w:szCs w:val="24"/>
          <w:u w:val="single"/>
        </w:rPr>
        <w:t xml:space="preserve">             （签字）</w:t>
      </w:r>
    </w:p>
    <w:p>
      <w:pPr>
        <w:tabs>
          <w:tab w:val="left" w:pos="1260"/>
        </w:tabs>
        <w:spacing w:line="312" w:lineRule="auto"/>
        <w:rPr>
          <w:rFonts w:ascii="宋体" w:hAnsi="宋体" w:eastAsia="宋体" w:cs="Times New Roman"/>
          <w:szCs w:val="24"/>
        </w:rPr>
      </w:pP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日期：    年    月    日                        日期：    年    月    日</w:t>
      </w:r>
    </w:p>
    <w:p>
      <w:pPr>
        <w:widowControl/>
        <w:jc w:val="left"/>
        <w:rPr>
          <w:rFonts w:ascii="宋体" w:hAnsi="宋体" w:eastAsia="宋体" w:cs="Times New Roman"/>
          <w:szCs w:val="21"/>
        </w:rPr>
      </w:pPr>
      <w:r>
        <w:rPr>
          <w:rFonts w:ascii="宋体" w:hAnsi="宋体" w:eastAsia="宋体" w:cs="Times New Roman"/>
          <w:szCs w:val="21"/>
        </w:rPr>
        <w:br w:type="page"/>
      </w:r>
    </w:p>
    <w:p>
      <w:pPr>
        <w:jc w:val="center"/>
        <w:rPr>
          <w:rFonts w:ascii="宋体" w:hAnsi="宋体" w:eastAsia="宋体" w:cs="Times New Roman"/>
          <w:b/>
          <w:sz w:val="36"/>
          <w:szCs w:val="36"/>
        </w:rPr>
      </w:pPr>
      <w:r>
        <w:rPr>
          <w:rFonts w:hint="eastAsia" w:ascii="宋体" w:hAnsi="宋体" w:eastAsia="宋体" w:cs="Times New Roman"/>
          <w:b/>
          <w:sz w:val="36"/>
          <w:szCs w:val="36"/>
        </w:rPr>
        <w:t>廉政合同</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Times New Roman"/>
          <w:szCs w:val="24"/>
          <w:u w:val="single"/>
        </w:rPr>
        <w:t>S239湟里收费站大棚拆除及路面恢复工程勘察设计项目</w:t>
      </w:r>
      <w:r>
        <w:rPr>
          <w:rFonts w:hint="eastAsia" w:ascii="宋体" w:hAnsi="宋体" w:eastAsia="宋体" w:cs="Times New Roman"/>
          <w:szCs w:val="24"/>
        </w:rPr>
        <w:t>法人</w:t>
      </w:r>
      <w:r>
        <w:rPr>
          <w:rFonts w:hint="eastAsia" w:ascii="宋体" w:hAnsi="宋体" w:eastAsia="宋体" w:cs="Times New Roman"/>
          <w:szCs w:val="24"/>
          <w:u w:val="single"/>
        </w:rPr>
        <w:t>常州市公路事业发展中心</w:t>
      </w:r>
      <w:r>
        <w:rPr>
          <w:rFonts w:hint="eastAsia" w:ascii="宋体" w:hAnsi="宋体" w:eastAsia="宋体" w:cs="Times New Roman"/>
          <w:szCs w:val="24"/>
        </w:rPr>
        <w:t>（以下简称“采购人”）与该项目的承包单位</w:t>
      </w:r>
      <w:r>
        <w:rPr>
          <w:rFonts w:hint="eastAsia" w:ascii="宋体" w:hAnsi="宋体" w:eastAsia="宋体" w:cs="Times New Roman"/>
          <w:szCs w:val="24"/>
          <w:u w:val="single"/>
        </w:rPr>
        <w:t xml:space="preserve">        </w:t>
      </w:r>
      <w:r>
        <w:rPr>
          <w:rFonts w:hint="eastAsia" w:ascii="宋体" w:hAnsi="宋体" w:eastAsia="宋体" w:cs="Times New Roman"/>
          <w:szCs w:val="24"/>
        </w:rPr>
        <w:t>（以下简称“供应商”），特订立如下合同。</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1．采购人和供应商双方的权利和义务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（1）严格遵守党的政策规定和国家有关法律法规及交通运输部的有关规定。</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（2）严格执行</w:t>
      </w:r>
      <w:r>
        <w:rPr>
          <w:rFonts w:hint="eastAsia" w:ascii="宋体" w:hAnsi="宋体" w:eastAsia="宋体" w:cs="Times New Roman"/>
          <w:szCs w:val="24"/>
          <w:u w:val="single"/>
        </w:rPr>
        <w:t>S239湟里收费站大棚拆除及路面恢复工程勘察设计项目</w:t>
      </w:r>
      <w:r>
        <w:rPr>
          <w:rFonts w:hint="eastAsia" w:ascii="宋体" w:hAnsi="宋体" w:eastAsia="宋体" w:cs="Times New Roman"/>
          <w:szCs w:val="24"/>
        </w:rPr>
        <w:t>合同文件，自觉按合同办事。</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（3）双方的业务活动坚持公开、公正、诚信、透明的原则（法律认定的商业秘密和合同文件另有规定除外），不得损害国家和集体利益，不得违反工程建设管理规章制度。</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（4）建立健全廉政制度，开展廉政教育，设立廉政告示牌，公布举报电话，监督并认真查处违法违纪行为。</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（5）发现对方在业务活动中有违反廉政规定的行为，有及时提醒对方纠正的权利和义务。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（6）发现对方严重违反本合同义务条款的行为，有向其上级有关部门举报、建议给予处理并要求告知处理结果的权利。</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2．采购人的义务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（1）采购人及其工作人员不得索要或接受供应商的礼金、有价证券和贵重物品，不得让供应商报销任何应由采购人或采购人工作人员个人支付的费用等。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（2）采购人工作人员不得参加供应商安排的超标准宴请和娱乐活动；不得接受供应商提供的通讯工具、交通工具和高档办公用品等。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（3）采购人及其工作人员不利要求或者接受供应商为其住房装修、婚丧嫁娶活动、配偶子女的工作安排以及出国出境、旅游等提供方便等。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（4）采购人工作人员及其配偶、子女不得从事与采购人工作有关的材料设备供应、工程分包、劳务等经济活动等。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（5）采购人及期工作人员不得以任何理由向供应商推荐分包单位或推销材料，不得要求供应商购买合同规定外的材料和设备。</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（6）采购人工作人员要秉公办事，不准营私舞弊，不准利用职权从事各种个人有偿中介活动和安排个人施工队伍。</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3．供应商的义务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（1）供应商不得以任何理由向采购人及其工作人员行贿或馈赠礼金、有价证券、贵重礼品。</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（2）供应商不得以任何名义为采购人及其工作人员报销应由采购人单位或个人支付的任何费用。</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（3）供应商不得以任何理由安排采购人工作人员参加超标准宴请及娱乐活动。</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（4）供应商不得为采购人单位和个人购置或提供通讯工具、交通工具和高档办公用品等。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4．违约责任</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（1）采购人及其工作人员违反本合同第1、2条，按管理权限，依据有关规定给予党纪、政纪或组织处理；涉嫌犯罪的，移交司法机关追究刑事责任；给供应商单位造成经济损失的，应予以赔偿。</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供应商及其工作人员违反本合同第1、3条，按管理权限，依据有关规定给予党纪、政纪或组织处理；给采购人单位造成经济损失的，应予以赔偿；情节严重的，采购人建议交通主管部门给予供应商一至三年内不得进入其主管的公路建设市场的处罚。</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5.双方约定：本合同由双方或双方上级单位的纪检监察部门负责监督执行。由采购人或采购人上级单位的纪检监察部门约请供应商或供应商上级单位纪检监察部门对本合同执行情况进行检查，提出在本合同规定范围内的裁定意见。</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6.本合同有效期为采购人和供应商签署之日起至该工程项目竣工验收后止。</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7．本合同作为S239湟里收费站大棚拆除及路面恢复工程勘察设计项目合同的附件，与工程合同具有同等的法律效力，经合同双方签署后立即生效。</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8．本合同一式四份，由采购人和供应商各执贰份。</w:t>
      </w:r>
    </w:p>
    <w:p>
      <w:pPr>
        <w:spacing w:line="480" w:lineRule="atLeast"/>
        <w:ind w:firstLine="420" w:firstLineChars="200"/>
        <w:rPr>
          <w:rFonts w:ascii="宋体" w:hAnsi="宋体" w:eastAsia="宋体" w:cs="Times New Roman"/>
          <w:szCs w:val="24"/>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zCs w:val="24"/>
        </w:rPr>
        <w:t>采购人：</w:t>
      </w:r>
      <w:r>
        <w:rPr>
          <w:rFonts w:hint="eastAsia" w:ascii="宋体" w:hAnsi="宋体" w:eastAsia="宋体" w:cs="Times New Roman"/>
          <w:szCs w:val="24"/>
          <w:u w:val="single"/>
        </w:rPr>
        <w:t xml:space="preserve">常州市公路事业发展中心（盖章）  </w:t>
      </w:r>
      <w:r>
        <w:rPr>
          <w:rFonts w:hint="eastAsia" w:ascii="宋体" w:hAnsi="宋体" w:eastAsia="宋体" w:cs="Times New Roman"/>
          <w:szCs w:val="24"/>
        </w:rPr>
        <w:t xml:space="preserve">     供应商：</w:t>
      </w:r>
      <w:r>
        <w:rPr>
          <w:rFonts w:hint="eastAsia" w:ascii="宋体" w:hAnsi="宋体" w:eastAsia="宋体" w:cs="Times New Roman"/>
          <w:szCs w:val="24"/>
          <w:u w:val="single"/>
        </w:rPr>
        <w:t xml:space="preserve">      （盖章）</w:t>
      </w: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法定代表人                                   法定代表人</w:t>
      </w: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zCs w:val="24"/>
        </w:rPr>
        <w:t>或其授权的代理人：</w:t>
      </w:r>
      <w:r>
        <w:rPr>
          <w:rFonts w:hint="eastAsia" w:ascii="宋体" w:hAnsi="宋体" w:eastAsia="宋体" w:cs="Times New Roman"/>
          <w:szCs w:val="24"/>
          <w:u w:val="single"/>
        </w:rPr>
        <w:t xml:space="preserve">            （签字）</w:t>
      </w:r>
      <w:r>
        <w:rPr>
          <w:rFonts w:hint="eastAsia" w:ascii="宋体" w:hAnsi="宋体" w:eastAsia="宋体" w:cs="Times New Roman"/>
          <w:szCs w:val="24"/>
        </w:rPr>
        <w:t xml:space="preserve">       或其授权的代理人：</w:t>
      </w:r>
      <w:r>
        <w:rPr>
          <w:rFonts w:hint="eastAsia" w:ascii="宋体" w:hAnsi="宋体" w:eastAsia="宋体" w:cs="Times New Roman"/>
          <w:szCs w:val="24"/>
          <w:u w:val="single"/>
        </w:rPr>
        <w:t xml:space="preserve">              （签字）</w:t>
      </w: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日期：     年   月   日                      日期：    年   月   日</w:t>
      </w:r>
    </w:p>
    <w:p>
      <w:pPr>
        <w:rPr>
          <w:rFonts w:ascii="宋体" w:hAnsi="宋体" w:eastAsia="宋体"/>
        </w:rPr>
      </w:pPr>
    </w:p>
    <w:p>
      <w:pPr>
        <w:autoSpaceDE w:val="0"/>
        <w:autoSpaceDN w:val="0"/>
        <w:adjustRightInd w:val="0"/>
        <w:spacing w:line="360" w:lineRule="auto"/>
        <w:ind w:firstLine="200"/>
        <w:jc w:val="center"/>
        <w:rPr>
          <w:rFonts w:ascii="宋体" w:hAnsi="宋体"/>
          <w:b/>
          <w:bCs/>
          <w:sz w:val="24"/>
        </w:rPr>
      </w:pPr>
    </w:p>
    <w:p>
      <w:pPr>
        <w:widowControl/>
        <w:jc w:val="left"/>
        <w:rPr>
          <w:rFonts w:ascii="宋体" w:hAnsi="宋体"/>
          <w:b/>
          <w:bCs/>
          <w:sz w:val="24"/>
        </w:rPr>
      </w:pPr>
      <w:r>
        <w:rPr>
          <w:rFonts w:ascii="宋体" w:hAnsi="宋体"/>
          <w:b/>
          <w:bCs/>
          <w:sz w:val="24"/>
        </w:rPr>
        <w:br w:type="page"/>
      </w:r>
    </w:p>
    <w:p>
      <w:pPr>
        <w:pStyle w:val="121"/>
      </w:pPr>
      <w:bookmarkStart w:id="52" w:name="_Toc70512794"/>
      <w:bookmarkStart w:id="53" w:name="_Toc92976622"/>
      <w:r>
        <w:rPr>
          <w:rFonts w:hint="eastAsia"/>
        </w:rPr>
        <w:t>五.评分标准</w:t>
      </w:r>
      <w:bookmarkEnd w:id="52"/>
      <w:bookmarkEnd w:id="53"/>
    </w:p>
    <w:p>
      <w:pPr>
        <w:widowControl/>
        <w:rPr>
          <w:rFonts w:ascii="宋体" w:hAnsi="宋体"/>
          <w:bCs/>
          <w:color w:val="000000" w:themeColor="text1"/>
          <w:sz w:val="24"/>
          <w:szCs w:val="24"/>
        </w:rPr>
      </w:pPr>
    </w:p>
    <w:tbl>
      <w:tblPr>
        <w:tblStyle w:val="3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59"/>
        <w:gridCol w:w="703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序号</w:t>
            </w:r>
          </w:p>
        </w:tc>
        <w:tc>
          <w:tcPr>
            <w:tcW w:w="1259" w:type="dxa"/>
            <w:tcBorders>
              <w:right w:val="single" w:color="auto" w:sz="4" w:space="0"/>
            </w:tcBorders>
            <w:vAlign w:val="center"/>
          </w:tcPr>
          <w:p>
            <w:pPr>
              <w:jc w:val="center"/>
              <w:rPr>
                <w:rFonts w:asciiTheme="minorEastAsia" w:hAnsiTheme="minorEastAsia"/>
                <w:szCs w:val="24"/>
              </w:rPr>
            </w:pPr>
            <w:r>
              <w:rPr>
                <w:rFonts w:asciiTheme="minorEastAsia" w:hAnsiTheme="minorEastAsia"/>
                <w:szCs w:val="24"/>
              </w:rPr>
              <w:t>评分因素</w:t>
            </w:r>
          </w:p>
        </w:tc>
        <w:tc>
          <w:tcPr>
            <w:tcW w:w="7036" w:type="dxa"/>
            <w:tcBorders>
              <w:left w:val="single" w:color="auto" w:sz="4" w:space="0"/>
            </w:tcBorders>
            <w:vAlign w:val="center"/>
          </w:tcPr>
          <w:p>
            <w:pPr>
              <w:ind w:firstLine="420"/>
              <w:jc w:val="center"/>
              <w:rPr>
                <w:rFonts w:asciiTheme="minorEastAsia" w:hAnsiTheme="minorEastAsia"/>
                <w:szCs w:val="24"/>
              </w:rPr>
            </w:pPr>
            <w:r>
              <w:rPr>
                <w:rFonts w:hint="eastAsia" w:asciiTheme="minorEastAsia" w:hAnsiTheme="minorEastAsia"/>
                <w:szCs w:val="24"/>
              </w:rPr>
              <w:t>评分标准</w:t>
            </w:r>
          </w:p>
        </w:tc>
        <w:tc>
          <w:tcPr>
            <w:tcW w:w="996" w:type="dxa"/>
            <w:tcBorders>
              <w:left w:val="single" w:color="auto" w:sz="4" w:space="0"/>
            </w:tcBorders>
            <w:vAlign w:val="center"/>
          </w:tcPr>
          <w:p>
            <w:pPr>
              <w:jc w:val="center"/>
              <w:rPr>
                <w:rFonts w:asciiTheme="minorEastAsia" w:hAnsiTheme="minorEastAsia"/>
                <w:szCs w:val="24"/>
              </w:rPr>
            </w:pPr>
            <w:r>
              <w:rPr>
                <w:rFonts w:asciiTheme="minorEastAsia" w:hAnsiTheme="minorEastAsia"/>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w:t>
            </w:r>
          </w:p>
        </w:tc>
        <w:tc>
          <w:tcPr>
            <w:tcW w:w="1259" w:type="dxa"/>
            <w:tcBorders>
              <w:right w:val="single" w:color="auto" w:sz="4" w:space="0"/>
            </w:tcBorders>
            <w:vAlign w:val="center"/>
          </w:tcPr>
          <w:p>
            <w:pPr>
              <w:jc w:val="center"/>
              <w:rPr>
                <w:rFonts w:asciiTheme="minorEastAsia" w:hAnsiTheme="minorEastAsia"/>
                <w:szCs w:val="24"/>
              </w:rPr>
            </w:pPr>
            <w:r>
              <w:rPr>
                <w:rFonts w:asciiTheme="minorEastAsia" w:hAnsiTheme="minorEastAsia"/>
                <w:szCs w:val="24"/>
              </w:rPr>
              <w:t>价格分</w:t>
            </w:r>
          </w:p>
        </w:tc>
        <w:tc>
          <w:tcPr>
            <w:tcW w:w="7036" w:type="dxa"/>
            <w:tcBorders>
              <w:left w:val="single" w:color="auto" w:sz="4" w:space="0"/>
            </w:tcBorders>
            <w:vAlign w:val="center"/>
          </w:tcPr>
          <w:p>
            <w:pPr>
              <w:widowControl/>
              <w:spacing w:line="360" w:lineRule="auto"/>
              <w:rPr>
                <w:rFonts w:ascii="宋体" w:hAnsi="宋体" w:eastAsia="宋体" w:cs="Times New Roman"/>
                <w:bCs/>
                <w:szCs w:val="24"/>
              </w:rPr>
            </w:pPr>
            <w:r>
              <w:rPr>
                <w:rFonts w:hint="eastAsia" w:ascii="宋体" w:hAnsi="宋体" w:eastAsia="宋体" w:cs="Times New Roman"/>
                <w:bCs/>
                <w:szCs w:val="24"/>
              </w:rPr>
              <w:t>所有投标人的评标价去掉一个最高值和一个最低值后的算术平均值即为评标价平均值（如果参与评标价平均值计算的有效投标人少于5家时，则计算评标价平均值时不去掉最高值和最低值）</w:t>
            </w:r>
          </w:p>
          <w:p>
            <w:pPr>
              <w:widowControl/>
              <w:spacing w:line="360" w:lineRule="auto"/>
              <w:rPr>
                <w:rFonts w:asciiTheme="minorEastAsia" w:hAnsiTheme="minorEastAsia"/>
                <w:szCs w:val="24"/>
              </w:rPr>
            </w:pPr>
            <w:r>
              <w:rPr>
                <w:rFonts w:hint="eastAsia" w:ascii="宋体" w:hAnsi="宋体" w:eastAsia="宋体" w:cs="Times New Roman"/>
                <w:bCs/>
                <w:szCs w:val="24"/>
              </w:rPr>
              <w:t>当投标人的评标价等于评标基准价时得满分10分，每高一个百分点扣0.2分，每低一个百分点扣0.1分，计算扣分时保留2位小数。</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2</w:t>
            </w:r>
          </w:p>
        </w:tc>
        <w:tc>
          <w:tcPr>
            <w:tcW w:w="1259" w:type="dxa"/>
            <w:tcBorders>
              <w:right w:val="single" w:color="auto" w:sz="4" w:space="0"/>
            </w:tcBorders>
            <w:vAlign w:val="center"/>
          </w:tcPr>
          <w:p>
            <w:pPr>
              <w:jc w:val="center"/>
              <w:rPr>
                <w:rFonts w:asciiTheme="minorEastAsia" w:hAnsiTheme="minorEastAsia"/>
                <w:szCs w:val="24"/>
              </w:rPr>
            </w:pPr>
            <w:r>
              <w:rPr>
                <w:rFonts w:asciiTheme="minorEastAsia" w:hAnsiTheme="minorEastAsia"/>
                <w:szCs w:val="24"/>
              </w:rPr>
              <w:t>业绩</w:t>
            </w:r>
          </w:p>
        </w:tc>
        <w:tc>
          <w:tcPr>
            <w:tcW w:w="7036" w:type="dxa"/>
            <w:tcBorders>
              <w:left w:val="single" w:color="auto" w:sz="4" w:space="0"/>
            </w:tcBorders>
            <w:vAlign w:val="center"/>
          </w:tcPr>
          <w:p>
            <w:pPr>
              <w:widowControl/>
              <w:spacing w:line="360" w:lineRule="auto"/>
              <w:rPr>
                <w:rFonts w:ascii="宋体" w:hAnsi="宋体" w:eastAsia="宋体" w:cs="Times New Roman"/>
                <w:bCs/>
                <w:szCs w:val="24"/>
              </w:rPr>
            </w:pPr>
            <w:r>
              <w:rPr>
                <w:rFonts w:hint="eastAsia" w:ascii="宋体" w:hAnsi="宋体" w:eastAsia="宋体" w:cs="Times New Roman"/>
                <w:bCs/>
                <w:szCs w:val="24"/>
              </w:rPr>
              <w:t xml:space="preserve">供应商的业绩满足公告要求的，得基本分5分； </w:t>
            </w:r>
          </w:p>
          <w:p>
            <w:pPr>
              <w:widowControl/>
              <w:spacing w:line="360" w:lineRule="auto"/>
              <w:rPr>
                <w:rFonts w:ascii="宋体" w:hAnsi="宋体" w:eastAsia="宋体" w:cs="Times New Roman"/>
                <w:bCs/>
                <w:szCs w:val="24"/>
              </w:rPr>
            </w:pPr>
            <w:r>
              <w:rPr>
                <w:rFonts w:hint="eastAsia" w:ascii="宋体" w:hAnsi="宋体" w:eastAsia="宋体" w:cs="Times New Roman"/>
                <w:bCs/>
                <w:szCs w:val="24"/>
              </w:rPr>
              <w:t>供应商每增加一项满足公告要求的业绩的，加3分，最多加12分。</w:t>
            </w:r>
          </w:p>
          <w:p>
            <w:pPr>
              <w:widowControl/>
              <w:spacing w:line="360" w:lineRule="auto"/>
              <w:rPr>
                <w:rFonts w:ascii="宋体" w:hAnsi="宋体" w:eastAsia="宋体" w:cs="Times New Roman"/>
                <w:bCs/>
                <w:szCs w:val="24"/>
              </w:rPr>
            </w:pPr>
            <w:r>
              <w:rPr>
                <w:rFonts w:hint="eastAsia" w:ascii="宋体" w:hAnsi="宋体" w:eastAsia="宋体" w:cs="Times New Roman"/>
                <w:bCs/>
                <w:szCs w:val="24"/>
              </w:rPr>
              <w:t>响应文件中提供合同复印件加盖公章。</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3</w:t>
            </w:r>
          </w:p>
        </w:tc>
        <w:tc>
          <w:tcPr>
            <w:tcW w:w="1259" w:type="dxa"/>
            <w:tcBorders>
              <w:right w:val="single" w:color="auto" w:sz="4" w:space="0"/>
            </w:tcBorders>
            <w:vAlign w:val="center"/>
          </w:tcPr>
          <w:p>
            <w:pPr>
              <w:jc w:val="center"/>
              <w:rPr>
                <w:rFonts w:asciiTheme="minorEastAsia" w:hAnsiTheme="minorEastAsia"/>
                <w:szCs w:val="24"/>
              </w:rPr>
            </w:pPr>
            <w:r>
              <w:rPr>
                <w:rFonts w:asciiTheme="minorEastAsia" w:hAnsiTheme="minorEastAsia"/>
                <w:szCs w:val="24"/>
              </w:rPr>
              <w:t>项目负责人</w:t>
            </w:r>
          </w:p>
        </w:tc>
        <w:tc>
          <w:tcPr>
            <w:tcW w:w="7036" w:type="dxa"/>
            <w:tcBorders>
              <w:left w:val="single" w:color="auto" w:sz="4" w:space="0"/>
            </w:tcBorders>
            <w:vAlign w:val="center"/>
          </w:tcPr>
          <w:p>
            <w:pPr>
              <w:pStyle w:val="134"/>
              <w:spacing w:line="360" w:lineRule="exact"/>
              <w:rPr>
                <w:rFonts w:ascii="宋体" w:hAnsi="宋体" w:eastAsia="宋体"/>
                <w:color w:val="auto"/>
                <w:sz w:val="21"/>
              </w:rPr>
            </w:pPr>
            <w:r>
              <w:rPr>
                <w:rFonts w:hint="eastAsia" w:ascii="宋体" w:hAnsi="宋体" w:eastAsia="宋体"/>
                <w:color w:val="auto"/>
                <w:sz w:val="21"/>
              </w:rPr>
              <w:t>项目负责人的资格满足公告要求的，得基本分5分；</w:t>
            </w:r>
          </w:p>
          <w:p>
            <w:pPr>
              <w:widowControl/>
              <w:spacing w:line="360" w:lineRule="auto"/>
              <w:rPr>
                <w:rFonts w:ascii="宋体" w:hAnsi="宋体"/>
                <w:szCs w:val="24"/>
              </w:rPr>
            </w:pPr>
            <w:r>
              <w:rPr>
                <w:rFonts w:hint="eastAsia" w:ascii="宋体" w:hAnsi="宋体"/>
                <w:szCs w:val="24"/>
              </w:rPr>
              <w:t>每增加一项满足公告要求的业绩的，加2分，最多加4分。</w:t>
            </w:r>
          </w:p>
          <w:p>
            <w:pPr>
              <w:widowControl/>
              <w:spacing w:line="360" w:lineRule="auto"/>
              <w:rPr>
                <w:rFonts w:ascii="宋体" w:hAnsi="宋体" w:eastAsia="宋体" w:cs="Times New Roman"/>
                <w:bCs/>
                <w:szCs w:val="24"/>
              </w:rPr>
            </w:pPr>
            <w:r>
              <w:rPr>
                <w:rFonts w:hint="eastAsia" w:ascii="宋体" w:hAnsi="宋体"/>
                <w:szCs w:val="24"/>
              </w:rPr>
              <w:t>响应文件中提供职称证书、合同复印件（合同中需体现项目负责人或提供相关证明材料体现项目负责人，企业与项目负责人业绩可重复）及2022年10月-2022年12月中任意一个月社保缴纳证明。</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4</w:t>
            </w:r>
          </w:p>
        </w:tc>
        <w:tc>
          <w:tcPr>
            <w:tcW w:w="1259" w:type="dxa"/>
            <w:tcBorders>
              <w:right w:val="single" w:color="auto" w:sz="4" w:space="0"/>
            </w:tcBorders>
            <w:vAlign w:val="center"/>
          </w:tcPr>
          <w:p>
            <w:pPr>
              <w:jc w:val="center"/>
              <w:rPr>
                <w:rFonts w:asciiTheme="minorEastAsia" w:hAnsiTheme="minorEastAsia"/>
                <w:szCs w:val="24"/>
              </w:rPr>
            </w:pPr>
            <w:r>
              <w:rPr>
                <w:rFonts w:asciiTheme="minorEastAsia" w:hAnsiTheme="minorEastAsia"/>
                <w:szCs w:val="24"/>
              </w:rPr>
              <w:t>主要人员</w:t>
            </w:r>
          </w:p>
        </w:tc>
        <w:tc>
          <w:tcPr>
            <w:tcW w:w="7036" w:type="dxa"/>
            <w:tcBorders>
              <w:left w:val="single" w:color="auto" w:sz="4" w:space="0"/>
            </w:tcBorders>
            <w:vAlign w:val="center"/>
          </w:tcPr>
          <w:p>
            <w:pPr>
              <w:widowControl/>
              <w:spacing w:line="360" w:lineRule="auto"/>
              <w:rPr>
                <w:rFonts w:ascii="宋体" w:hAnsi="宋体" w:eastAsia="宋体" w:cs="Times New Roman"/>
                <w:bCs/>
                <w:szCs w:val="24"/>
              </w:rPr>
            </w:pPr>
            <w:r>
              <w:rPr>
                <w:rFonts w:hint="eastAsia" w:ascii="宋体" w:hAnsi="宋体" w:eastAsia="宋体" w:cs="Times New Roman"/>
                <w:bCs/>
                <w:szCs w:val="24"/>
              </w:rPr>
              <w:t>各项人员配备齐全，且每增加一名工程师及以上职称人员，加5分，最多加15分。</w:t>
            </w:r>
          </w:p>
          <w:p>
            <w:pPr>
              <w:widowControl/>
              <w:spacing w:line="360" w:lineRule="auto"/>
              <w:rPr>
                <w:rFonts w:ascii="宋体" w:hAnsi="宋体" w:eastAsia="宋体" w:cs="Times New Roman"/>
                <w:bCs/>
                <w:szCs w:val="24"/>
              </w:rPr>
            </w:pPr>
            <w:r>
              <w:rPr>
                <w:rFonts w:hint="eastAsia" w:ascii="宋体" w:hAnsi="宋体"/>
                <w:szCs w:val="24"/>
              </w:rPr>
              <w:t>响应文件中提供职称证书及2022年10月-2022年12月中任意一个月社保缴纳证明。</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5</w:t>
            </w:r>
          </w:p>
        </w:tc>
        <w:tc>
          <w:tcPr>
            <w:tcW w:w="1259" w:type="dxa"/>
            <w:tcBorders>
              <w:right w:val="single" w:color="auto" w:sz="4" w:space="0"/>
            </w:tcBorders>
            <w:vAlign w:val="center"/>
          </w:tcPr>
          <w:p>
            <w:pPr>
              <w:jc w:val="center"/>
              <w:rPr>
                <w:rFonts w:asciiTheme="minorEastAsia" w:hAnsiTheme="minorEastAsia"/>
                <w:szCs w:val="24"/>
                <w:lang w:val="zh-CN"/>
              </w:rPr>
            </w:pPr>
            <w:r>
              <w:rPr>
                <w:rFonts w:hint="eastAsia" w:asciiTheme="minorEastAsia" w:hAnsiTheme="minorEastAsia"/>
                <w:szCs w:val="24"/>
              </w:rPr>
              <w:t>方案实施</w:t>
            </w:r>
          </w:p>
        </w:tc>
        <w:tc>
          <w:tcPr>
            <w:tcW w:w="7036" w:type="dxa"/>
            <w:tcBorders>
              <w:left w:val="single" w:color="auto" w:sz="4" w:space="0"/>
            </w:tcBorders>
            <w:vAlign w:val="center"/>
          </w:tcPr>
          <w:p>
            <w:pPr>
              <w:widowControl/>
              <w:spacing w:line="360" w:lineRule="auto"/>
              <w:rPr>
                <w:rFonts w:ascii="宋体" w:hAnsi="宋体"/>
                <w:kern w:val="0"/>
              </w:rPr>
            </w:pPr>
            <w:r>
              <w:rPr>
                <w:rFonts w:hint="eastAsia" w:ascii="宋体" w:hAnsi="宋体"/>
                <w:kern w:val="0"/>
              </w:rPr>
              <w:t>对供应商提供的方案科学合理，路径符合实际方面进行评分：</w:t>
            </w:r>
          </w:p>
          <w:p>
            <w:pPr>
              <w:pStyle w:val="109"/>
              <w:widowControl/>
              <w:numPr>
                <w:ilvl w:val="0"/>
                <w:numId w:val="5"/>
              </w:numPr>
              <w:spacing w:line="360" w:lineRule="auto"/>
              <w:ind w:firstLineChars="0"/>
              <w:rPr>
                <w:rFonts w:ascii="宋体" w:hAnsi="宋体"/>
                <w:kern w:val="0"/>
              </w:rPr>
            </w:pPr>
            <w:r>
              <w:rPr>
                <w:rFonts w:hint="eastAsia" w:ascii="宋体" w:hAnsi="宋体"/>
                <w:kern w:val="0"/>
              </w:rPr>
              <w:t>方案科学合理性、实际操作可行性强的，得13-15分；</w:t>
            </w:r>
          </w:p>
          <w:p>
            <w:pPr>
              <w:pStyle w:val="109"/>
              <w:widowControl/>
              <w:numPr>
                <w:ilvl w:val="0"/>
                <w:numId w:val="5"/>
              </w:numPr>
              <w:spacing w:line="360" w:lineRule="auto"/>
              <w:ind w:firstLineChars="0"/>
              <w:rPr>
                <w:rFonts w:ascii="宋体" w:hAnsi="宋体"/>
                <w:bCs/>
                <w:szCs w:val="24"/>
              </w:rPr>
            </w:pPr>
            <w:r>
              <w:rPr>
                <w:rFonts w:hint="eastAsia" w:ascii="宋体" w:hAnsi="宋体"/>
                <w:kern w:val="0"/>
              </w:rPr>
              <w:t>方案科学合理性、实际操作可行性较强的，得9-12分；</w:t>
            </w:r>
          </w:p>
          <w:p>
            <w:pPr>
              <w:pStyle w:val="109"/>
              <w:widowControl/>
              <w:numPr>
                <w:ilvl w:val="0"/>
                <w:numId w:val="5"/>
              </w:numPr>
              <w:spacing w:line="360" w:lineRule="auto"/>
              <w:ind w:firstLineChars="0"/>
              <w:rPr>
                <w:rFonts w:ascii="宋体" w:hAnsi="宋体"/>
                <w:bCs/>
                <w:szCs w:val="24"/>
              </w:rPr>
            </w:pPr>
            <w:r>
              <w:rPr>
                <w:rFonts w:hint="eastAsia" w:ascii="宋体" w:hAnsi="宋体"/>
                <w:kern w:val="0"/>
              </w:rPr>
              <w:t>方案科学合理性、实际操作可行性一般的，得5-8分；</w:t>
            </w:r>
          </w:p>
          <w:p>
            <w:pPr>
              <w:pStyle w:val="109"/>
              <w:widowControl/>
              <w:numPr>
                <w:ilvl w:val="0"/>
                <w:numId w:val="5"/>
              </w:numPr>
              <w:spacing w:line="360" w:lineRule="auto"/>
              <w:ind w:firstLineChars="0"/>
              <w:rPr>
                <w:rFonts w:ascii="宋体" w:hAnsi="宋体"/>
                <w:bCs/>
                <w:szCs w:val="24"/>
              </w:rPr>
            </w:pPr>
            <w:r>
              <w:rPr>
                <w:rFonts w:hint="eastAsia" w:ascii="宋体" w:hAnsi="宋体"/>
                <w:kern w:val="0"/>
              </w:rPr>
              <w:t>方案科学合理性、实际操作可行性较差的，得1-4分。</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7</w:t>
            </w:r>
          </w:p>
        </w:tc>
        <w:tc>
          <w:tcPr>
            <w:tcW w:w="1259"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项目成果</w:t>
            </w:r>
          </w:p>
        </w:tc>
        <w:tc>
          <w:tcPr>
            <w:tcW w:w="7036" w:type="dxa"/>
            <w:tcBorders>
              <w:left w:val="single" w:color="auto" w:sz="4" w:space="0"/>
            </w:tcBorders>
            <w:vAlign w:val="center"/>
          </w:tcPr>
          <w:p>
            <w:pPr>
              <w:widowControl/>
              <w:spacing w:line="360" w:lineRule="auto"/>
              <w:rPr>
                <w:rFonts w:asciiTheme="minorEastAsia" w:hAnsiTheme="minorEastAsia"/>
                <w:szCs w:val="24"/>
              </w:rPr>
            </w:pPr>
            <w:r>
              <w:rPr>
                <w:rFonts w:hint="eastAsia" w:asciiTheme="minorEastAsia" w:hAnsiTheme="minorEastAsia"/>
                <w:szCs w:val="24"/>
              </w:rPr>
              <w:t>对供应商拟提交的项目成果内容及形式的科学性、合理性、适用性进行评分：</w:t>
            </w:r>
          </w:p>
          <w:p>
            <w:pPr>
              <w:pStyle w:val="109"/>
              <w:widowControl/>
              <w:numPr>
                <w:ilvl w:val="0"/>
                <w:numId w:val="6"/>
              </w:numPr>
              <w:spacing w:line="360" w:lineRule="auto"/>
              <w:ind w:firstLineChars="0"/>
              <w:rPr>
                <w:rFonts w:asciiTheme="minorEastAsia" w:hAnsiTheme="minorEastAsia"/>
                <w:szCs w:val="24"/>
              </w:rPr>
            </w:pPr>
            <w:r>
              <w:rPr>
                <w:rFonts w:hint="eastAsia" w:asciiTheme="minorEastAsia" w:hAnsiTheme="minorEastAsia"/>
                <w:szCs w:val="24"/>
              </w:rPr>
              <w:t>项目成果内容及形式科学性、合理性、适用性强的，得13-15分；</w:t>
            </w:r>
          </w:p>
          <w:p>
            <w:pPr>
              <w:pStyle w:val="109"/>
              <w:widowControl/>
              <w:numPr>
                <w:ilvl w:val="0"/>
                <w:numId w:val="6"/>
              </w:numPr>
              <w:spacing w:line="360" w:lineRule="auto"/>
              <w:ind w:firstLineChars="0"/>
              <w:rPr>
                <w:rFonts w:asciiTheme="minorEastAsia" w:hAnsiTheme="minorEastAsia"/>
                <w:szCs w:val="24"/>
              </w:rPr>
            </w:pPr>
            <w:r>
              <w:rPr>
                <w:rFonts w:hint="eastAsia" w:asciiTheme="minorEastAsia" w:hAnsiTheme="minorEastAsia"/>
                <w:szCs w:val="24"/>
              </w:rPr>
              <w:t>项目成果内容及形式科学性、合理性、适用性较强的，得9-12分；</w:t>
            </w:r>
          </w:p>
          <w:p>
            <w:pPr>
              <w:pStyle w:val="109"/>
              <w:widowControl/>
              <w:numPr>
                <w:ilvl w:val="0"/>
                <w:numId w:val="6"/>
              </w:numPr>
              <w:spacing w:line="360" w:lineRule="auto"/>
              <w:ind w:firstLineChars="0"/>
              <w:rPr>
                <w:rFonts w:asciiTheme="minorEastAsia" w:hAnsiTheme="minorEastAsia"/>
                <w:szCs w:val="24"/>
              </w:rPr>
            </w:pPr>
            <w:r>
              <w:rPr>
                <w:rFonts w:hint="eastAsia" w:asciiTheme="minorEastAsia" w:hAnsiTheme="minorEastAsia"/>
                <w:szCs w:val="24"/>
              </w:rPr>
              <w:t>项目成果内容及形式科学性、合理性、适用性一般的，得5-8分；</w:t>
            </w:r>
          </w:p>
          <w:p>
            <w:pPr>
              <w:widowControl/>
              <w:spacing w:line="360" w:lineRule="auto"/>
              <w:rPr>
                <w:rFonts w:asciiTheme="minorEastAsia" w:hAnsiTheme="minorEastAsia"/>
                <w:szCs w:val="24"/>
              </w:rPr>
            </w:pPr>
            <w:r>
              <w:rPr>
                <w:rFonts w:hint="eastAsia" w:asciiTheme="minorEastAsia" w:hAnsiTheme="minorEastAsia"/>
                <w:szCs w:val="24"/>
              </w:rPr>
              <w:t>4、项目成果内容及形式科学性、合理性、适用性差的，得1-4分；</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68"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8</w:t>
            </w:r>
          </w:p>
        </w:tc>
        <w:tc>
          <w:tcPr>
            <w:tcW w:w="1259"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工作计划与质量管理措施</w:t>
            </w:r>
          </w:p>
        </w:tc>
        <w:tc>
          <w:tcPr>
            <w:tcW w:w="7036" w:type="dxa"/>
            <w:tcBorders>
              <w:left w:val="single" w:color="auto" w:sz="4" w:space="0"/>
            </w:tcBorders>
            <w:vAlign w:val="center"/>
          </w:tcPr>
          <w:p>
            <w:pPr>
              <w:widowControl/>
              <w:spacing w:line="360" w:lineRule="auto"/>
              <w:rPr>
                <w:rFonts w:asciiTheme="minorEastAsia" w:hAnsiTheme="minorEastAsia"/>
                <w:szCs w:val="24"/>
              </w:rPr>
            </w:pPr>
            <w:r>
              <w:rPr>
                <w:rFonts w:hint="eastAsia" w:asciiTheme="minorEastAsia" w:hAnsiTheme="minorEastAsia"/>
                <w:szCs w:val="24"/>
              </w:rPr>
              <w:t>对本项目工作进度计划、质量管理、保障措施进行评分：</w:t>
            </w:r>
          </w:p>
          <w:p>
            <w:pPr>
              <w:pStyle w:val="109"/>
              <w:widowControl/>
              <w:numPr>
                <w:ilvl w:val="0"/>
                <w:numId w:val="7"/>
              </w:numPr>
              <w:spacing w:line="360" w:lineRule="auto"/>
              <w:ind w:firstLineChars="0"/>
              <w:rPr>
                <w:rFonts w:asciiTheme="minorEastAsia" w:hAnsiTheme="minorEastAsia"/>
                <w:szCs w:val="24"/>
              </w:rPr>
            </w:pPr>
            <w:r>
              <w:rPr>
                <w:rFonts w:hint="eastAsia" w:asciiTheme="minorEastAsia" w:hAnsiTheme="minorEastAsia"/>
                <w:szCs w:val="24"/>
              </w:rPr>
              <w:t>工作进度计划、质量管理、保障措施完善合理的，得8-10分；</w:t>
            </w:r>
          </w:p>
          <w:p>
            <w:pPr>
              <w:pStyle w:val="109"/>
              <w:widowControl/>
              <w:numPr>
                <w:ilvl w:val="0"/>
                <w:numId w:val="7"/>
              </w:numPr>
              <w:spacing w:line="360" w:lineRule="auto"/>
              <w:ind w:firstLineChars="0"/>
              <w:rPr>
                <w:rFonts w:asciiTheme="minorEastAsia" w:hAnsiTheme="minorEastAsia"/>
                <w:szCs w:val="24"/>
              </w:rPr>
            </w:pPr>
            <w:r>
              <w:rPr>
                <w:rFonts w:hint="eastAsia" w:asciiTheme="minorEastAsia" w:hAnsiTheme="minorEastAsia"/>
                <w:szCs w:val="24"/>
              </w:rPr>
              <w:t>工作进度计划、质量管理、保障措施一般可行的，得4-7分；</w:t>
            </w:r>
          </w:p>
          <w:p>
            <w:pPr>
              <w:pStyle w:val="109"/>
              <w:widowControl/>
              <w:numPr>
                <w:ilvl w:val="0"/>
                <w:numId w:val="7"/>
              </w:numPr>
              <w:spacing w:line="360" w:lineRule="auto"/>
              <w:ind w:firstLineChars="0"/>
              <w:rPr>
                <w:rFonts w:asciiTheme="minorEastAsia" w:hAnsiTheme="minorEastAsia"/>
                <w:szCs w:val="24"/>
              </w:rPr>
            </w:pPr>
            <w:r>
              <w:rPr>
                <w:rFonts w:hint="eastAsia" w:asciiTheme="minorEastAsia" w:hAnsiTheme="minorEastAsia"/>
                <w:szCs w:val="24"/>
              </w:rPr>
              <w:t>工作进度计划、质量管理、保障措施笼统含糊的，得1-3分。</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68" w:type="dxa"/>
            <w:tcBorders>
              <w:right w:val="single" w:color="auto" w:sz="4" w:space="0"/>
            </w:tcBorders>
            <w:vAlign w:val="center"/>
          </w:tcPr>
          <w:p>
            <w:pPr>
              <w:jc w:val="center"/>
              <w:rPr>
                <w:rFonts w:asciiTheme="minorEastAsia" w:hAnsiTheme="minorEastAsia"/>
                <w:szCs w:val="24"/>
              </w:rPr>
            </w:pPr>
          </w:p>
        </w:tc>
        <w:tc>
          <w:tcPr>
            <w:tcW w:w="1259" w:type="dxa"/>
            <w:tcBorders>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应重视的问题及对策措施</w:t>
            </w:r>
          </w:p>
        </w:tc>
        <w:tc>
          <w:tcPr>
            <w:tcW w:w="7036" w:type="dxa"/>
            <w:tcBorders>
              <w:left w:val="single" w:color="auto" w:sz="4" w:space="0"/>
            </w:tcBorders>
            <w:vAlign w:val="center"/>
          </w:tcPr>
          <w:p>
            <w:pPr>
              <w:widowControl/>
              <w:spacing w:line="360" w:lineRule="auto"/>
              <w:rPr>
                <w:rFonts w:asciiTheme="minorEastAsia" w:hAnsiTheme="minorEastAsia"/>
                <w:szCs w:val="24"/>
              </w:rPr>
            </w:pPr>
            <w:r>
              <w:rPr>
                <w:rFonts w:hint="eastAsia" w:asciiTheme="minorEastAsia" w:hAnsiTheme="minorEastAsia"/>
                <w:szCs w:val="24"/>
              </w:rPr>
              <w:t>对供应商拟提交的问题及对策措施进行评分：</w:t>
            </w:r>
          </w:p>
          <w:p>
            <w:pPr>
              <w:widowControl/>
              <w:spacing w:line="360" w:lineRule="auto"/>
              <w:rPr>
                <w:rFonts w:asciiTheme="minorEastAsia" w:hAnsiTheme="minorEastAsia"/>
                <w:szCs w:val="24"/>
              </w:rPr>
            </w:pPr>
            <w:r>
              <w:rPr>
                <w:rFonts w:hint="eastAsia" w:asciiTheme="minorEastAsia" w:hAnsiTheme="minorEastAsia"/>
                <w:szCs w:val="24"/>
              </w:rPr>
              <w:t>1、对本项目设计工作中的关键问题分析全面、准确、清晰；相应对策及建议合理、可行、可靠得8-9分；</w:t>
            </w:r>
          </w:p>
          <w:p>
            <w:pPr>
              <w:widowControl/>
              <w:spacing w:line="360" w:lineRule="auto"/>
              <w:rPr>
                <w:rFonts w:asciiTheme="minorEastAsia" w:hAnsiTheme="minorEastAsia"/>
                <w:szCs w:val="24"/>
              </w:rPr>
            </w:pPr>
            <w:r>
              <w:rPr>
                <w:rFonts w:hint="eastAsia" w:asciiTheme="minorEastAsia" w:hAnsiTheme="minorEastAsia"/>
                <w:szCs w:val="24"/>
              </w:rPr>
              <w:t>2、对本项目设计工作中的关键问题分析较全面、准确、清晰；措施及建议较合理、可靠得4-7分；</w:t>
            </w:r>
          </w:p>
          <w:p>
            <w:pPr>
              <w:widowControl/>
              <w:spacing w:line="360" w:lineRule="auto"/>
              <w:rPr>
                <w:rFonts w:asciiTheme="minorEastAsia" w:hAnsiTheme="minorEastAsia"/>
                <w:szCs w:val="24"/>
              </w:rPr>
            </w:pPr>
            <w:r>
              <w:rPr>
                <w:rFonts w:hint="eastAsia" w:asciiTheme="minorEastAsia" w:hAnsiTheme="minorEastAsia"/>
                <w:szCs w:val="24"/>
              </w:rPr>
              <w:t xml:space="preserve">3、对本项目设计工作中的关键问题分析一般，得1-3分； </w:t>
            </w:r>
          </w:p>
        </w:tc>
        <w:tc>
          <w:tcPr>
            <w:tcW w:w="996" w:type="dxa"/>
            <w:tcBorders>
              <w:lef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9</w:t>
            </w:r>
          </w:p>
        </w:tc>
      </w:tr>
    </w:tbl>
    <w:p>
      <w:pPr>
        <w:widowControl/>
        <w:spacing w:line="360" w:lineRule="auto"/>
        <w:rPr>
          <w:rFonts w:asciiTheme="minorEastAsia" w:hAnsiTheme="minorEastAsia"/>
          <w:szCs w:val="24"/>
        </w:rPr>
      </w:pPr>
      <w:r>
        <w:rPr>
          <w:rFonts w:hint="eastAsia" w:asciiTheme="minorEastAsia" w:hAnsiTheme="minorEastAsia"/>
          <w:szCs w:val="24"/>
        </w:rPr>
        <w:t xml:space="preserve">注： </w:t>
      </w:r>
    </w:p>
    <w:p>
      <w:pPr>
        <w:widowControl/>
        <w:spacing w:line="360" w:lineRule="auto"/>
        <w:rPr>
          <w:rFonts w:asciiTheme="minorEastAsia" w:hAnsiTheme="minorEastAsia"/>
          <w:szCs w:val="24"/>
        </w:rPr>
      </w:pPr>
      <w:r>
        <w:rPr>
          <w:rFonts w:hint="eastAsia" w:asciiTheme="minorEastAsia" w:hAnsiTheme="minorEastAsia"/>
          <w:szCs w:val="24"/>
        </w:rPr>
        <w:t>1、评分细则中要求提供的证明文件及资料等在响应文件中提供复印件并加盖公章，过时不予接收。</w:t>
      </w:r>
    </w:p>
    <w:p>
      <w:pPr>
        <w:widowControl/>
        <w:spacing w:line="360" w:lineRule="auto"/>
        <w:rPr>
          <w:rFonts w:asciiTheme="minorEastAsia" w:hAnsiTheme="minorEastAsia"/>
          <w:szCs w:val="24"/>
        </w:rPr>
      </w:pPr>
      <w:r>
        <w:rPr>
          <w:rFonts w:hint="eastAsia" w:asciiTheme="minorEastAsia" w:hAnsiTheme="minorEastAsia"/>
          <w:szCs w:val="24"/>
        </w:rPr>
        <w:t>2、评审时，未能按以上要求提供相应证明的，不作为评分依据，不得分。</w:t>
      </w:r>
    </w:p>
    <w:p>
      <w:pPr>
        <w:widowControl/>
        <w:spacing w:line="360" w:lineRule="auto"/>
        <w:rPr>
          <w:rFonts w:ascii="仿宋" w:hAnsi="仿宋" w:eastAsia="仿宋"/>
          <w:sz w:val="24"/>
          <w:szCs w:val="32"/>
        </w:rPr>
      </w:pPr>
      <w:r>
        <w:rPr>
          <w:rFonts w:hint="eastAsia" w:asciiTheme="minorEastAsia" w:hAnsiTheme="minorEastAsia"/>
          <w:szCs w:val="24"/>
        </w:rPr>
        <w:t>3、为便于评分，请供应商按评分表样式，逐条列出证明材料所在页码，格式自定。</w:t>
      </w:r>
    </w:p>
    <w:p>
      <w:pPr>
        <w:widowControl/>
        <w:jc w:val="center"/>
        <w:rPr>
          <w:rFonts w:ascii="仿宋" w:hAnsi="仿宋" w:eastAsia="仿宋"/>
          <w:sz w:val="32"/>
          <w:szCs w:val="32"/>
        </w:rPr>
        <w:sectPr>
          <w:headerReference r:id="rId8" w:type="default"/>
          <w:footerReference r:id="rId9" w:type="default"/>
          <w:pgSz w:w="11906" w:h="16838"/>
          <w:pgMar w:top="1239" w:right="1474" w:bottom="1276" w:left="1588" w:header="567" w:footer="476" w:gutter="0"/>
          <w:pgNumType w:start="1"/>
          <w:cols w:space="425" w:num="1"/>
          <w:docGrid w:type="lines" w:linePitch="312" w:charSpace="0"/>
        </w:sectPr>
      </w:pPr>
    </w:p>
    <w:bookmarkEnd w:id="51"/>
    <w:p>
      <w:pPr>
        <w:keepNext/>
        <w:spacing w:line="360" w:lineRule="auto"/>
        <w:jc w:val="center"/>
        <w:outlineLvl w:val="0"/>
        <w:rPr>
          <w:rFonts w:ascii="黑体" w:hAnsi="黑体" w:eastAsia="黑体" w:cs="Times New Roman"/>
          <w:bCs/>
          <w:kern w:val="0"/>
          <w:sz w:val="28"/>
          <w:szCs w:val="28"/>
        </w:rPr>
      </w:pPr>
      <w:bookmarkStart w:id="54" w:name="_Toc92976623"/>
      <w:bookmarkStart w:id="55" w:name="_Toc55147052"/>
      <w:r>
        <w:rPr>
          <w:rFonts w:hint="eastAsia" w:ascii="黑体" w:hAnsi="黑体" w:eastAsia="黑体" w:cs="Times New Roman"/>
          <w:bCs/>
          <w:kern w:val="0"/>
          <w:sz w:val="28"/>
          <w:szCs w:val="28"/>
        </w:rPr>
        <w:t>六．响应文件格式</w:t>
      </w:r>
      <w:bookmarkEnd w:id="54"/>
      <w:bookmarkEnd w:id="55"/>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jc w:val="center"/>
        <w:rPr>
          <w:rFonts w:ascii="黑体" w:eastAsia="黑体"/>
          <w:bCs/>
          <w:color w:val="000000" w:themeColor="text1"/>
          <w:sz w:val="84"/>
          <w:szCs w:val="84"/>
        </w:rPr>
      </w:pPr>
      <w:bookmarkStart w:id="56" w:name="_Toc55147053"/>
      <w:r>
        <w:rPr>
          <w:rFonts w:hint="eastAsia" w:ascii="黑体" w:eastAsia="黑体"/>
          <w:bCs/>
          <w:color w:val="000000" w:themeColor="text1"/>
          <w:sz w:val="84"/>
          <w:szCs w:val="84"/>
        </w:rPr>
        <w:t>响 应 文 件</w:t>
      </w:r>
    </w:p>
    <w:p>
      <w:pPr>
        <w:jc w:val="center"/>
        <w:rPr>
          <w:rFonts w:ascii="黑体" w:eastAsia="黑体"/>
          <w:bCs/>
          <w:color w:val="000000" w:themeColor="text1"/>
          <w:sz w:val="72"/>
        </w:rPr>
      </w:pPr>
    </w:p>
    <w:p>
      <w:pPr>
        <w:jc w:val="center"/>
        <w:rPr>
          <w:rFonts w:ascii="楷体_GB2312" w:eastAsia="楷体_GB2312"/>
          <w:bCs/>
          <w:color w:val="000000" w:themeColor="text1"/>
          <w:sz w:val="72"/>
        </w:rPr>
      </w:pPr>
    </w:p>
    <w:p>
      <w:pPr>
        <w:jc w:val="center"/>
        <w:rPr>
          <w:rFonts w:ascii="楷体_GB2312" w:eastAsia="楷体_GB2312"/>
          <w:bCs/>
          <w:color w:val="000000" w:themeColor="text1"/>
          <w:sz w:val="72"/>
        </w:rPr>
      </w:pPr>
    </w:p>
    <w:p>
      <w:pPr>
        <w:rPr>
          <w:rFonts w:ascii="楷体_GB2312" w:eastAsia="楷体_GB2312"/>
          <w:bCs/>
          <w:color w:val="000000" w:themeColor="text1"/>
          <w:sz w:val="72"/>
        </w:rPr>
      </w:pPr>
    </w:p>
    <w:p>
      <w:pPr>
        <w:jc w:val="center"/>
        <w:rPr>
          <w:rFonts w:ascii="楷体_GB2312" w:eastAsia="楷体_GB2312"/>
          <w:bCs/>
          <w:color w:val="000000" w:themeColor="text1"/>
          <w:sz w:val="28"/>
        </w:rPr>
      </w:pPr>
    </w:p>
    <w:p>
      <w:pPr>
        <w:jc w:val="center"/>
        <w:rPr>
          <w:rFonts w:ascii="黑体" w:eastAsia="黑体"/>
          <w:bCs/>
          <w:color w:val="000000" w:themeColor="text1"/>
          <w:sz w:val="36"/>
          <w:szCs w:val="36"/>
        </w:rPr>
      </w:pPr>
      <w:r>
        <w:rPr>
          <w:rFonts w:hint="eastAsia" w:ascii="黑体" w:eastAsia="黑体"/>
          <w:bCs/>
          <w:color w:val="000000" w:themeColor="text1"/>
          <w:sz w:val="36"/>
          <w:szCs w:val="36"/>
        </w:rPr>
        <w:t>项 目 编 号：</w:t>
      </w:r>
    </w:p>
    <w:p>
      <w:pPr>
        <w:jc w:val="center"/>
        <w:rPr>
          <w:rFonts w:ascii="黑体" w:eastAsia="黑体"/>
          <w:bCs/>
          <w:color w:val="000000" w:themeColor="text1"/>
          <w:sz w:val="36"/>
          <w:szCs w:val="36"/>
        </w:rPr>
      </w:pPr>
      <w:r>
        <w:rPr>
          <w:rFonts w:hint="eastAsia" w:ascii="黑体" w:eastAsia="黑体"/>
          <w:bCs/>
          <w:color w:val="000000" w:themeColor="text1"/>
          <w:sz w:val="36"/>
          <w:szCs w:val="36"/>
        </w:rPr>
        <w:t>项 目 名 称：</w:t>
      </w:r>
    </w:p>
    <w:p>
      <w:pPr>
        <w:jc w:val="center"/>
        <w:rPr>
          <w:rFonts w:ascii="黑体" w:eastAsia="黑体"/>
          <w:bCs/>
          <w:color w:val="000000" w:themeColor="text1"/>
          <w:sz w:val="36"/>
          <w:szCs w:val="36"/>
        </w:rPr>
      </w:pPr>
      <w:r>
        <w:rPr>
          <w:rFonts w:hint="eastAsia" w:ascii="黑体" w:eastAsia="黑体"/>
          <w:bCs/>
          <w:color w:val="000000" w:themeColor="text1"/>
          <w:sz w:val="36"/>
          <w:szCs w:val="36"/>
        </w:rPr>
        <w:t xml:space="preserve">报 </w:t>
      </w:r>
      <w:r>
        <w:rPr>
          <w:rFonts w:ascii="黑体" w:eastAsia="黑体"/>
          <w:bCs/>
          <w:color w:val="000000" w:themeColor="text1"/>
          <w:sz w:val="36"/>
          <w:szCs w:val="36"/>
        </w:rPr>
        <w:t xml:space="preserve">  </w:t>
      </w:r>
      <w:r>
        <w:rPr>
          <w:rFonts w:hint="eastAsia" w:ascii="黑体" w:eastAsia="黑体"/>
          <w:bCs/>
          <w:color w:val="000000" w:themeColor="text1"/>
          <w:sz w:val="36"/>
          <w:szCs w:val="36"/>
        </w:rPr>
        <w:t xml:space="preserve">价 </w:t>
      </w:r>
      <w:r>
        <w:rPr>
          <w:rFonts w:ascii="黑体" w:eastAsia="黑体"/>
          <w:bCs/>
          <w:color w:val="000000" w:themeColor="text1"/>
          <w:sz w:val="36"/>
          <w:szCs w:val="36"/>
        </w:rPr>
        <w:t xml:space="preserve"> </w:t>
      </w:r>
      <w:r>
        <w:rPr>
          <w:rFonts w:hint="eastAsia" w:ascii="黑体" w:eastAsia="黑体"/>
          <w:bCs/>
          <w:color w:val="000000" w:themeColor="text1"/>
          <w:sz w:val="36"/>
          <w:szCs w:val="36"/>
        </w:rPr>
        <w:t>人：</w:t>
      </w:r>
    </w:p>
    <w:p>
      <w:pPr>
        <w:jc w:val="center"/>
        <w:rPr>
          <w:rFonts w:ascii="黑体" w:eastAsia="黑体"/>
          <w:bCs/>
          <w:color w:val="000000" w:themeColor="text1"/>
          <w:sz w:val="36"/>
          <w:szCs w:val="36"/>
        </w:rPr>
      </w:pPr>
      <w:r>
        <w:rPr>
          <w:rFonts w:hint="eastAsia" w:ascii="黑体" w:eastAsia="黑体"/>
          <w:bCs/>
          <w:color w:val="000000" w:themeColor="text1"/>
          <w:sz w:val="36"/>
          <w:szCs w:val="36"/>
        </w:rPr>
        <w:t>日       期：</w:t>
      </w:r>
    </w:p>
    <w:p>
      <w:pPr>
        <w:widowControl/>
        <w:jc w:val="left"/>
        <w:rPr>
          <w:rFonts w:ascii="黑体" w:eastAsia="黑体"/>
          <w:bCs/>
          <w:color w:val="000000" w:themeColor="text1"/>
          <w:sz w:val="36"/>
          <w:szCs w:val="36"/>
        </w:rPr>
      </w:pPr>
    </w:p>
    <w:p>
      <w:pPr>
        <w:widowControl/>
        <w:jc w:val="left"/>
        <w:rPr>
          <w:rFonts w:ascii="黑体" w:hAnsi="黑体" w:eastAsia="黑体"/>
          <w:sz w:val="24"/>
          <w:szCs w:val="24"/>
        </w:rPr>
      </w:pPr>
      <w:r>
        <w:rPr>
          <w:rFonts w:ascii="黑体" w:hAnsi="黑体" w:eastAsia="黑体"/>
          <w:sz w:val="24"/>
          <w:szCs w:val="24"/>
        </w:rPr>
        <w:br w:type="page"/>
      </w:r>
    </w:p>
    <w:bookmarkEnd w:id="56"/>
    <w:p>
      <w:pPr>
        <w:spacing w:line="360" w:lineRule="auto"/>
        <w:rPr>
          <w:rFonts w:ascii="黑体" w:hAnsi="黑体" w:eastAsia="黑体"/>
          <w:sz w:val="28"/>
          <w:szCs w:val="28"/>
        </w:rPr>
      </w:pPr>
      <w:r>
        <w:rPr>
          <w:rFonts w:hint="eastAsia" w:ascii="黑体" w:hAnsi="黑体" w:eastAsia="黑体"/>
          <w:sz w:val="28"/>
          <w:szCs w:val="28"/>
        </w:rPr>
        <w:t>一、供应商情况说明</w:t>
      </w:r>
    </w:p>
    <w:p>
      <w:pPr>
        <w:snapToGrid w:val="0"/>
        <w:spacing w:line="360" w:lineRule="auto"/>
        <w:ind w:firstLine="480" w:firstLineChars="200"/>
        <w:rPr>
          <w:rFonts w:ascii="宋体" w:hAnsi="宋体"/>
          <w:sz w:val="24"/>
          <w:szCs w:val="24"/>
        </w:rPr>
      </w:pPr>
      <w:r>
        <w:rPr>
          <w:rFonts w:hint="eastAsia" w:ascii="宋体" w:hAnsi="宋体"/>
          <w:sz w:val="24"/>
          <w:szCs w:val="24"/>
        </w:rPr>
        <w:t>供应商简要情况介绍，含供应商规模、银行资信、技术能力及装备水平等、人员情况。供应商自行以文字形式说明。</w:t>
      </w:r>
    </w:p>
    <w:p>
      <w:pPr>
        <w:snapToGrid w:val="0"/>
        <w:spacing w:line="360" w:lineRule="auto"/>
        <w:rPr>
          <w:rFonts w:ascii="宋体" w:hAnsi="宋体"/>
          <w:sz w:val="24"/>
          <w:szCs w:val="24"/>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rPr>
          <w:rFonts w:ascii="黑体" w:hAnsi="黑体" w:eastAsia="黑体"/>
          <w:sz w:val="28"/>
          <w:szCs w:val="28"/>
        </w:rPr>
      </w:pPr>
      <w:r>
        <w:rPr>
          <w:rFonts w:hint="eastAsia" w:ascii="黑体" w:hAnsi="黑体" w:eastAsia="黑体"/>
          <w:sz w:val="28"/>
          <w:szCs w:val="28"/>
        </w:rPr>
        <w:t>二、资格审查响应对照表</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序号</w:t>
            </w:r>
          </w:p>
        </w:tc>
        <w:tc>
          <w:tcPr>
            <w:tcW w:w="5447"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资格审查响应内容</w:t>
            </w:r>
          </w:p>
        </w:tc>
        <w:tc>
          <w:tcPr>
            <w:tcW w:w="1953"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是否响应</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（填是或者否）</w:t>
            </w:r>
          </w:p>
        </w:tc>
        <w:tc>
          <w:tcPr>
            <w:tcW w:w="1785"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响应文件中</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Theme="minorEastAsia" w:hAnsiTheme="minorEastAsia"/>
                <w:b/>
                <w:sz w:val="24"/>
                <w:szCs w:val="24"/>
              </w:rPr>
            </w:pPr>
            <w:r>
              <w:rPr>
                <w:rFonts w:hint="eastAsia" w:asciiTheme="minorEastAsia" w:hAnsiTheme="minorEastAsia"/>
                <w:b/>
                <w:sz w:val="24"/>
                <w:szCs w:val="24"/>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法定代表人资格证明书/法定代表人授权委托书</w:t>
            </w:r>
          </w:p>
        </w:tc>
        <w:tc>
          <w:tcPr>
            <w:tcW w:w="1953" w:type="dxa"/>
            <w:vAlign w:val="center"/>
          </w:tcPr>
          <w:p>
            <w:pPr>
              <w:rPr>
                <w:rFonts w:asciiTheme="minorEastAsia" w:hAnsiTheme="minorEastAsia"/>
                <w:b/>
                <w:sz w:val="24"/>
                <w:szCs w:val="24"/>
              </w:rPr>
            </w:pPr>
          </w:p>
        </w:tc>
        <w:tc>
          <w:tcPr>
            <w:tcW w:w="1785" w:type="dxa"/>
            <w:vAlign w:val="center"/>
          </w:tcPr>
          <w:p>
            <w:pP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具有独立承担民事责任能力的供应商营业执照或相关部门的登记证明文件复印件</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具备履行合同所必需的设备和专业技术能力的书面声明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参加政府采购活动前 3 年内在经营活动中没有重大违法记录的书面声明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5447" w:type="dxa"/>
            <w:vAlign w:val="center"/>
          </w:tcPr>
          <w:p>
            <w:pPr>
              <w:snapToGrid w:val="0"/>
              <w:spacing w:line="0" w:lineRule="atLeast"/>
              <w:rPr>
                <w:rFonts w:asciiTheme="minorEastAsia" w:hAnsiTheme="minorEastAsia"/>
                <w:iCs/>
                <w:sz w:val="24"/>
                <w:szCs w:val="24"/>
              </w:rPr>
            </w:pPr>
            <w:r>
              <w:rPr>
                <w:rFonts w:asciiTheme="minorEastAsia" w:hAnsiTheme="minorEastAsia"/>
                <w:iCs/>
                <w:sz w:val="24"/>
                <w:szCs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未被“信用中国”网站（www.creditchina.gov.cn）列入失信被执行人、重大税收违法案件当事人名单、政府采购严重失信行为记录名单（提供网页截图）</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5447" w:type="dxa"/>
            <w:vAlign w:val="center"/>
          </w:tcPr>
          <w:p>
            <w:pPr>
              <w:snapToGrid w:val="0"/>
              <w:spacing w:line="0" w:lineRule="atLeast"/>
              <w:jc w:val="left"/>
              <w:rPr>
                <w:rFonts w:asciiTheme="minorEastAsia" w:hAnsiTheme="minorEastAsia"/>
                <w:iCs/>
                <w:sz w:val="24"/>
                <w:szCs w:val="24"/>
              </w:rPr>
            </w:pPr>
            <w:r>
              <w:rPr>
                <w:rFonts w:hint="eastAsia" w:ascii="宋体" w:hAnsi="宋体"/>
                <w:sz w:val="24"/>
              </w:rPr>
              <w:t>投标人资格要求涉及的其它证明材料</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rPr>
            </w:pPr>
            <w:r>
              <w:rPr>
                <w:rFonts w:ascii="宋体" w:hAnsi="宋体"/>
              </w:rPr>
              <w:t>…</w:t>
            </w:r>
          </w:p>
        </w:tc>
        <w:tc>
          <w:tcPr>
            <w:tcW w:w="5447" w:type="dxa"/>
            <w:vAlign w:val="center"/>
          </w:tcPr>
          <w:p>
            <w:pPr>
              <w:snapToGrid w:val="0"/>
              <w:spacing w:line="0" w:lineRule="atLeast"/>
              <w:jc w:val="left"/>
              <w:rPr>
                <w:rFonts w:ascii="宋体" w:hAnsi="宋体"/>
                <w:sz w:val="24"/>
              </w:rPr>
            </w:pPr>
            <w:r>
              <w:rPr>
                <w:rFonts w:ascii="宋体" w:hAnsi="宋体"/>
                <w:sz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关于</w:t>
            </w:r>
            <w:r>
              <w:rPr>
                <w:rFonts w:hint="eastAsia" w:asciiTheme="minorEastAsia" w:hAnsiTheme="minorEastAsia"/>
                <w:iCs/>
                <w:sz w:val="24"/>
                <w:szCs w:val="24"/>
              </w:rPr>
              <w:t>资格的声明函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响应函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sz w:val="24"/>
                <w:szCs w:val="24"/>
              </w:rPr>
            </w:pP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bl>
    <w:p>
      <w:pPr>
        <w:spacing w:line="360" w:lineRule="auto"/>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rPr>
          <w:rFonts w:ascii="黑体" w:hAnsi="黑体" w:eastAsia="黑体"/>
          <w:sz w:val="28"/>
          <w:szCs w:val="28"/>
        </w:rPr>
      </w:pPr>
      <w:r>
        <w:rPr>
          <w:rFonts w:hint="eastAsia" w:ascii="黑体" w:hAnsi="黑体" w:eastAsia="黑体"/>
          <w:sz w:val="28"/>
          <w:szCs w:val="28"/>
        </w:rPr>
        <w:t>三、资格、资信证明文件</w:t>
      </w:r>
    </w:p>
    <w:p>
      <w:pPr>
        <w:snapToGrid w:val="0"/>
        <w:spacing w:line="360" w:lineRule="auto"/>
        <w:ind w:firstLine="480" w:firstLineChars="200"/>
        <w:rPr>
          <w:rFonts w:ascii="宋体" w:hAnsi="宋体"/>
          <w:sz w:val="24"/>
          <w:szCs w:val="20"/>
        </w:rPr>
      </w:pPr>
      <w:r>
        <w:rPr>
          <w:rFonts w:hint="eastAsia" w:ascii="宋体" w:hAnsi="宋体"/>
          <w:b/>
          <w:bCs/>
          <w:sz w:val="24"/>
          <w:szCs w:val="24"/>
        </w:rPr>
        <w:t>1、资格证明文件目录</w:t>
      </w:r>
    </w:p>
    <w:p>
      <w:pPr>
        <w:snapToGrid w:val="0"/>
        <w:spacing w:line="360" w:lineRule="auto"/>
        <w:ind w:firstLine="480" w:firstLineChars="200"/>
        <w:rPr>
          <w:rFonts w:ascii="宋体" w:hAnsi="宋体" w:cs="Arial"/>
          <w:sz w:val="24"/>
          <w:szCs w:val="24"/>
        </w:rPr>
      </w:pPr>
      <w:r>
        <w:rPr>
          <w:rFonts w:hint="eastAsia" w:ascii="宋体" w:hAnsi="宋体"/>
          <w:b/>
          <w:sz w:val="24"/>
          <w:szCs w:val="24"/>
        </w:rPr>
        <w:t xml:space="preserve">文件1  </w:t>
      </w:r>
      <w:r>
        <w:rPr>
          <w:rFonts w:hint="eastAsia" w:ascii="宋体" w:hAnsi="宋体" w:cs="Arial"/>
          <w:sz w:val="24"/>
          <w:szCs w:val="24"/>
        </w:rPr>
        <w:t>法人或者其他组织的营业执照等证明文件，自然人的身份证明（复印件，如投标人组成联合体投标，参加联合体的各方均需提供）</w:t>
      </w:r>
    </w:p>
    <w:p>
      <w:pPr>
        <w:snapToGrid w:val="0"/>
        <w:spacing w:line="360" w:lineRule="auto"/>
        <w:ind w:firstLine="480" w:firstLineChars="200"/>
        <w:jc w:val="left"/>
        <w:rPr>
          <w:rFonts w:ascii="宋体" w:hAnsi="宋体"/>
          <w:b/>
          <w:sz w:val="24"/>
          <w:szCs w:val="24"/>
        </w:rPr>
      </w:pPr>
      <w:r>
        <w:rPr>
          <w:rFonts w:hint="eastAsia" w:ascii="宋体" w:hAnsi="宋体"/>
          <w:b/>
          <w:sz w:val="24"/>
          <w:szCs w:val="24"/>
        </w:rPr>
        <w:t xml:space="preserve">文件2  </w:t>
      </w:r>
      <w:r>
        <w:rPr>
          <w:rFonts w:hint="eastAsia" w:ascii="宋体" w:hAnsi="宋体" w:cs="Arial"/>
          <w:sz w:val="24"/>
          <w:szCs w:val="24"/>
        </w:rPr>
        <w:t>具备履行合同所必需的设备和专业技术能力的书面声明（如投标人组成联合体投标，参加联合体的各方均需提供）</w:t>
      </w:r>
    </w:p>
    <w:p>
      <w:pPr>
        <w:snapToGrid w:val="0"/>
        <w:spacing w:line="360" w:lineRule="auto"/>
        <w:ind w:firstLine="480" w:firstLineChars="200"/>
        <w:rPr>
          <w:rFonts w:ascii="宋体" w:hAnsi="宋体" w:cs="Arial"/>
          <w:sz w:val="24"/>
          <w:szCs w:val="24"/>
        </w:rPr>
      </w:pPr>
      <w:r>
        <w:rPr>
          <w:rFonts w:hint="eastAsia" w:ascii="宋体" w:hAnsi="宋体"/>
          <w:b/>
          <w:sz w:val="24"/>
          <w:szCs w:val="24"/>
        </w:rPr>
        <w:t xml:space="preserve">文件3  </w:t>
      </w:r>
      <w:r>
        <w:rPr>
          <w:rFonts w:hint="eastAsia" w:ascii="宋体" w:hAnsi="宋体" w:cs="Arial"/>
          <w:sz w:val="24"/>
          <w:szCs w:val="24"/>
        </w:rPr>
        <w:t>参加政府采购活动前 3 年内在经营活动中没有重大违法记录的书面声明（如投标人组成联合体投标，参加联合体的各方均需提供）</w:t>
      </w:r>
    </w:p>
    <w:p>
      <w:pPr>
        <w:snapToGrid w:val="0"/>
        <w:spacing w:line="360" w:lineRule="auto"/>
        <w:ind w:firstLine="480" w:firstLineChars="200"/>
        <w:jc w:val="left"/>
        <w:rPr>
          <w:rFonts w:ascii="宋体" w:hAnsi="宋体"/>
          <w:sz w:val="24"/>
          <w:szCs w:val="24"/>
        </w:rPr>
      </w:pPr>
      <w:r>
        <w:rPr>
          <w:rFonts w:hint="eastAsia" w:ascii="宋体" w:hAnsi="宋体"/>
          <w:b/>
          <w:sz w:val="24"/>
          <w:szCs w:val="24"/>
        </w:rPr>
        <w:t xml:space="preserve">文件4  </w:t>
      </w:r>
      <w:r>
        <w:rPr>
          <w:rFonts w:hint="eastAsia" w:ascii="宋体" w:hAnsi="宋体"/>
          <w:sz w:val="24"/>
          <w:szCs w:val="24"/>
        </w:rPr>
        <w:t>响应函（原件，</w:t>
      </w:r>
      <w:r>
        <w:rPr>
          <w:rFonts w:hint="eastAsia" w:ascii="宋体" w:hAnsi="宋体" w:cs="Arial"/>
          <w:sz w:val="24"/>
          <w:szCs w:val="24"/>
        </w:rPr>
        <w:t>如投标人组成联合体投标，参加联合体的各方均需</w:t>
      </w:r>
      <w:r>
        <w:rPr>
          <w:rFonts w:hint="eastAsia" w:ascii="宋体" w:hAnsi="宋体"/>
          <w:sz w:val="24"/>
          <w:szCs w:val="24"/>
        </w:rPr>
        <w:t>加盖公章）</w:t>
      </w:r>
    </w:p>
    <w:p>
      <w:pPr>
        <w:snapToGrid w:val="0"/>
        <w:spacing w:line="360" w:lineRule="auto"/>
        <w:ind w:firstLine="480" w:firstLineChars="200"/>
        <w:jc w:val="left"/>
        <w:rPr>
          <w:rFonts w:ascii="宋体" w:hAnsi="宋体"/>
          <w:b/>
          <w:sz w:val="24"/>
          <w:szCs w:val="24"/>
        </w:rPr>
      </w:pPr>
      <w:r>
        <w:rPr>
          <w:rFonts w:hint="eastAsia" w:ascii="宋体" w:hAnsi="宋体"/>
          <w:b/>
          <w:sz w:val="24"/>
          <w:szCs w:val="24"/>
        </w:rPr>
        <w:t xml:space="preserve">文件5  </w:t>
      </w:r>
      <w:r>
        <w:rPr>
          <w:rFonts w:hint="eastAsia" w:ascii="宋体" w:hAnsi="宋体"/>
          <w:sz w:val="24"/>
          <w:szCs w:val="24"/>
        </w:rPr>
        <w:t>法定代表人资格证明书（原件，</w:t>
      </w:r>
      <w:r>
        <w:rPr>
          <w:rFonts w:hint="eastAsia" w:ascii="宋体" w:hAnsi="宋体" w:cs="Arial"/>
          <w:sz w:val="24"/>
          <w:szCs w:val="24"/>
        </w:rPr>
        <w:t>如投标人组成联合体投标，参加联合体的各方均需</w:t>
      </w:r>
      <w:r>
        <w:rPr>
          <w:rFonts w:hint="eastAsia" w:ascii="宋体" w:hAnsi="宋体"/>
          <w:sz w:val="24"/>
          <w:szCs w:val="24"/>
        </w:rPr>
        <w:t>加盖公章）或法人授权委托书（原件，</w:t>
      </w:r>
      <w:r>
        <w:rPr>
          <w:rFonts w:hint="eastAsia" w:ascii="宋体" w:hAnsi="宋体" w:cs="Arial"/>
          <w:sz w:val="24"/>
          <w:szCs w:val="24"/>
        </w:rPr>
        <w:t>如投标人组成联合体投标，参加联合体的各方均需</w:t>
      </w:r>
      <w:r>
        <w:rPr>
          <w:rFonts w:hint="eastAsia" w:ascii="宋体" w:hAnsi="宋体"/>
          <w:sz w:val="24"/>
          <w:szCs w:val="24"/>
        </w:rPr>
        <w:t>加盖公章）</w:t>
      </w:r>
    </w:p>
    <w:p>
      <w:pPr>
        <w:snapToGrid w:val="0"/>
        <w:spacing w:line="360" w:lineRule="auto"/>
        <w:ind w:firstLine="480" w:firstLineChars="200"/>
        <w:jc w:val="left"/>
        <w:rPr>
          <w:rFonts w:ascii="宋体" w:hAnsi="宋体"/>
          <w:sz w:val="24"/>
          <w:szCs w:val="24"/>
        </w:rPr>
      </w:pPr>
      <w:r>
        <w:rPr>
          <w:rFonts w:hint="eastAsia" w:ascii="宋体" w:hAnsi="宋体"/>
          <w:b/>
          <w:sz w:val="24"/>
          <w:szCs w:val="24"/>
        </w:rPr>
        <w:t xml:space="preserve">文件8  </w:t>
      </w:r>
      <w:r>
        <w:rPr>
          <w:rFonts w:hint="eastAsia" w:ascii="宋体" w:hAnsi="宋体"/>
          <w:sz w:val="24"/>
          <w:szCs w:val="24"/>
        </w:rPr>
        <w:t>联合体协议（以联合体形式参加投标的提供，</w:t>
      </w:r>
      <w:r>
        <w:rPr>
          <w:rFonts w:hint="eastAsia" w:ascii="宋体" w:hAnsi="宋体" w:cs="Arial"/>
          <w:sz w:val="24"/>
          <w:szCs w:val="24"/>
        </w:rPr>
        <w:t>参加联合体的各方均需</w:t>
      </w:r>
      <w:r>
        <w:rPr>
          <w:rFonts w:hint="eastAsia" w:ascii="宋体" w:hAnsi="宋体"/>
          <w:sz w:val="24"/>
          <w:szCs w:val="24"/>
        </w:rPr>
        <w:t>加盖公章</w:t>
      </w:r>
      <w:r>
        <w:rPr>
          <w:rFonts w:hint="eastAsia" w:ascii="宋体" w:hAnsi="宋体" w:cs="Arial"/>
          <w:sz w:val="24"/>
          <w:szCs w:val="24"/>
        </w:rPr>
        <w:t>，</w:t>
      </w:r>
      <w:r>
        <w:rPr>
          <w:rFonts w:hint="eastAsia" w:ascii="宋体" w:hAnsi="宋体"/>
          <w:sz w:val="24"/>
          <w:szCs w:val="24"/>
        </w:rPr>
        <w:t>原件）</w:t>
      </w:r>
    </w:p>
    <w:p>
      <w:pPr>
        <w:snapToGrid w:val="0"/>
        <w:spacing w:line="360" w:lineRule="auto"/>
        <w:ind w:firstLine="480" w:firstLineChars="200"/>
        <w:jc w:val="left"/>
        <w:rPr>
          <w:rFonts w:ascii="宋体" w:hAnsi="宋体"/>
          <w:sz w:val="24"/>
          <w:szCs w:val="24"/>
        </w:rPr>
      </w:pPr>
      <w:r>
        <w:rPr>
          <w:rFonts w:hint="eastAsia" w:ascii="宋体" w:hAnsi="宋体"/>
          <w:b/>
          <w:sz w:val="24"/>
          <w:szCs w:val="24"/>
        </w:rPr>
        <w:t xml:space="preserve">文件9  </w:t>
      </w:r>
      <w:r>
        <w:rPr>
          <w:rFonts w:hint="eastAsia" w:ascii="宋体" w:hAnsi="宋体"/>
          <w:sz w:val="24"/>
          <w:szCs w:val="24"/>
        </w:rPr>
        <w:t>本项目投标人资格要求涉及的其它证明材料（如有）</w:t>
      </w:r>
    </w:p>
    <w:p>
      <w:pPr>
        <w:snapToGrid w:val="0"/>
        <w:spacing w:line="360" w:lineRule="auto"/>
        <w:ind w:firstLine="480" w:firstLineChars="200"/>
        <w:jc w:val="left"/>
        <w:rPr>
          <w:rFonts w:ascii="宋体" w:hAnsi="宋体"/>
          <w:sz w:val="24"/>
          <w:szCs w:val="24"/>
        </w:rPr>
      </w:pPr>
      <w:r>
        <w:rPr>
          <w:rFonts w:hint="eastAsia" w:ascii="宋体" w:hAnsi="宋体"/>
          <w:sz w:val="24"/>
          <w:szCs w:val="24"/>
        </w:rPr>
        <w:t>以上资格证明文件中要求加盖公章的，必须加盖公章；如供应商组成联合体参加投标，则联合体各方均须加盖公章，否则视为无效投标。</w:t>
      </w:r>
    </w:p>
    <w:p>
      <w:pPr>
        <w:snapToGrid w:val="0"/>
        <w:spacing w:line="360" w:lineRule="auto"/>
        <w:ind w:firstLine="200"/>
        <w:rPr>
          <w:rFonts w:ascii="宋体" w:hAnsi="宋体"/>
          <w:b/>
          <w:bCs/>
          <w:sz w:val="24"/>
        </w:rPr>
      </w:pPr>
    </w:p>
    <w:p>
      <w:pPr>
        <w:widowControl/>
        <w:jc w:val="left"/>
        <w:rPr>
          <w:rFonts w:ascii="黑体" w:hAnsi="黑体" w:eastAsia="黑体"/>
          <w:sz w:val="28"/>
          <w:szCs w:val="28"/>
        </w:rPr>
      </w:pPr>
      <w:r>
        <w:rPr>
          <w:rFonts w:ascii="黑体" w:hAnsi="黑体" w:eastAsia="黑体"/>
          <w:sz w:val="28"/>
          <w:szCs w:val="28"/>
        </w:rPr>
        <w:br w:type="page"/>
      </w:r>
    </w:p>
    <w:p>
      <w:pPr>
        <w:spacing w:line="580" w:lineRule="exact"/>
        <w:rPr>
          <w:rFonts w:ascii="黑体" w:hAnsi="黑体" w:eastAsia="黑体"/>
          <w:bCs/>
          <w:color w:val="000000" w:themeColor="text1"/>
          <w:sz w:val="28"/>
          <w:szCs w:val="28"/>
        </w:rPr>
      </w:pPr>
      <w:r>
        <w:rPr>
          <w:rFonts w:hint="eastAsia" w:ascii="黑体" w:hAnsi="黑体" w:eastAsia="黑体"/>
          <w:sz w:val="28"/>
          <w:szCs w:val="28"/>
        </w:rPr>
        <w:t>四、</w:t>
      </w:r>
      <w:r>
        <w:rPr>
          <w:rFonts w:hint="eastAsia" w:ascii="黑体" w:hAnsi="黑体" w:eastAsia="黑体"/>
          <w:bCs/>
          <w:color w:val="000000" w:themeColor="text1"/>
          <w:sz w:val="28"/>
          <w:szCs w:val="28"/>
        </w:rPr>
        <w:t>报价一览表</w:t>
      </w:r>
    </w:p>
    <w:p>
      <w:pPr>
        <w:spacing w:line="360" w:lineRule="auto"/>
        <w:rPr>
          <w:rFonts w:ascii="黑体" w:eastAsia="黑体"/>
          <w:bCs/>
          <w:color w:val="000000" w:themeColor="text1"/>
          <w:sz w:val="24"/>
          <w:szCs w:val="24"/>
        </w:rPr>
      </w:pPr>
    </w:p>
    <w:p>
      <w:pPr>
        <w:spacing w:line="360" w:lineRule="auto"/>
        <w:rPr>
          <w:rFonts w:ascii="黑体" w:eastAsia="黑体"/>
          <w:bCs/>
          <w:color w:val="000000" w:themeColor="text1"/>
          <w:sz w:val="24"/>
          <w:szCs w:val="24"/>
        </w:rPr>
      </w:pPr>
      <w:r>
        <w:rPr>
          <w:rFonts w:hint="eastAsia" w:ascii="黑体" w:eastAsia="黑体"/>
          <w:bCs/>
          <w:color w:val="000000" w:themeColor="text1"/>
          <w:sz w:val="24"/>
          <w:szCs w:val="24"/>
        </w:rPr>
        <w:t>供应商名称（盖章）：</w:t>
      </w:r>
      <w:r>
        <w:rPr>
          <w:rFonts w:hint="eastAsia" w:ascii="黑体" w:eastAsia="黑体"/>
          <w:bCs/>
          <w:color w:val="000000" w:themeColor="text1"/>
          <w:sz w:val="24"/>
          <w:szCs w:val="24"/>
          <w:u w:val="single"/>
        </w:rPr>
        <w:t xml:space="preserve">              </w:t>
      </w:r>
    </w:p>
    <w:p>
      <w:pPr>
        <w:spacing w:line="360" w:lineRule="auto"/>
        <w:rPr>
          <w:rFonts w:ascii="黑体" w:eastAsia="黑体"/>
          <w:bCs/>
          <w:color w:val="000000" w:themeColor="text1"/>
          <w:sz w:val="24"/>
          <w:szCs w:val="24"/>
          <w:u w:val="single"/>
        </w:rPr>
      </w:pPr>
      <w:r>
        <w:rPr>
          <w:rFonts w:hint="eastAsia" w:ascii="黑体" w:eastAsia="黑体"/>
          <w:bCs/>
          <w:color w:val="000000" w:themeColor="text1"/>
          <w:sz w:val="24"/>
          <w:szCs w:val="24"/>
        </w:rPr>
        <w:t>采购项目编号：</w:t>
      </w:r>
      <w:r>
        <w:rPr>
          <w:rFonts w:hint="eastAsia" w:ascii="黑体" w:eastAsia="黑体"/>
          <w:bCs/>
          <w:color w:val="000000" w:themeColor="text1"/>
          <w:sz w:val="24"/>
          <w:szCs w:val="24"/>
          <w:u w:val="single"/>
        </w:rPr>
        <w:t xml:space="preserve">                   </w:t>
      </w:r>
    </w:p>
    <w:p>
      <w:pPr>
        <w:spacing w:line="360" w:lineRule="auto"/>
        <w:rPr>
          <w:rFonts w:ascii="黑体" w:eastAsia="黑体"/>
          <w:bCs/>
          <w:color w:val="000000" w:themeColor="text1"/>
          <w:sz w:val="24"/>
          <w:szCs w:val="24"/>
        </w:rPr>
      </w:pPr>
    </w:p>
    <w:tbl>
      <w:tblPr>
        <w:tblStyle w:val="31"/>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rPr>
            </w:pPr>
            <w:r>
              <w:rPr>
                <w:rFonts w:hint="eastAsia" w:ascii="宋体" w:hAnsi="宋体"/>
                <w:b/>
                <w:bCs/>
                <w:color w:val="000000" w:themeColor="text1"/>
                <w:sz w:val="24"/>
                <w:szCs w:val="24"/>
              </w:rPr>
              <w:t>项目名称</w:t>
            </w:r>
          </w:p>
        </w:tc>
        <w:tc>
          <w:tcPr>
            <w:tcW w:w="4515" w:type="dxa"/>
            <w:vAlign w:val="center"/>
          </w:tcPr>
          <w:p>
            <w:pPr>
              <w:autoSpaceDE w:val="0"/>
              <w:autoSpaceDN w:val="0"/>
              <w:adjustRightInd w:val="0"/>
              <w:jc w:val="center"/>
              <w:rPr>
                <w:rFonts w:ascii="宋体"/>
                <w:b/>
                <w:bCs/>
                <w:color w:val="000000" w:themeColor="text1"/>
                <w:sz w:val="24"/>
                <w:szCs w:val="24"/>
              </w:rPr>
            </w:pPr>
            <w:r>
              <w:rPr>
                <w:rFonts w:hint="eastAsia" w:ascii="宋体" w:hAnsi="宋体"/>
                <w:b/>
                <w:bCs/>
                <w:color w:val="000000" w:themeColor="text1"/>
                <w:sz w:val="24"/>
                <w:szCs w:val="24"/>
              </w:rPr>
              <w:t>总报价</w:t>
            </w:r>
            <w:r>
              <w:rPr>
                <w:rFonts w:ascii="宋体" w:hAnsi="宋体"/>
                <w:b/>
                <w:bCs/>
                <w:color w:val="000000" w:themeColor="text1"/>
                <w:sz w:val="24"/>
                <w:szCs w:val="24"/>
              </w:rPr>
              <w:t>(</w:t>
            </w:r>
            <w:r>
              <w:rPr>
                <w:rFonts w:hint="eastAsia" w:ascii="宋体" w:hAnsi="宋体"/>
                <w:b/>
                <w:bCs/>
                <w:color w:val="000000" w:themeColor="text1"/>
                <w:sz w:val="24"/>
                <w:szCs w:val="24"/>
              </w:rPr>
              <w:t>小写</w:t>
            </w:r>
            <w:r>
              <w:rPr>
                <w:rFonts w:ascii="宋体" w:hAnsi="宋体"/>
                <w:b/>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ascii="宋体" w:hAnsi="宋体" w:eastAsia="宋体" w:cs="Times New Roman"/>
                <w:bCs/>
                <w:color w:val="000000" w:themeColor="text1"/>
                <w:kern w:val="0"/>
                <w:sz w:val="24"/>
                <w:szCs w:val="24"/>
                <w:u w:color="000000"/>
              </w:rPr>
            </w:pPr>
          </w:p>
        </w:tc>
        <w:tc>
          <w:tcPr>
            <w:tcW w:w="4515" w:type="dxa"/>
            <w:vAlign w:val="center"/>
          </w:tcPr>
          <w:p>
            <w:pPr>
              <w:rPr>
                <w:rFonts w:ascii="宋体" w:hAnsi="宋体" w:eastAsia="宋体" w:cs="Times New Roman"/>
                <w:b/>
                <w:color w:val="000000" w:themeColor="text1"/>
                <w:kern w:val="0"/>
                <w:sz w:val="24"/>
                <w:szCs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Theme="minorEastAsia" w:hAnsiTheme="minorEastAsia"/>
                <w:bCs/>
                <w:color w:val="000000" w:themeColor="text1"/>
                <w:sz w:val="24"/>
                <w:szCs w:val="24"/>
              </w:rPr>
            </w:pPr>
            <w:r>
              <w:rPr>
                <w:rFonts w:hint="eastAsia" w:asciiTheme="minorEastAsia" w:hAnsiTheme="minorEastAsia"/>
                <w:color w:val="000000" w:themeColor="text1"/>
                <w:sz w:val="24"/>
              </w:rPr>
              <w:t>总报价（大写）</w:t>
            </w:r>
            <w:r>
              <w:rPr>
                <w:rFonts w:hint="eastAsia" w:asciiTheme="minorEastAsia" w:hAnsiTheme="minorEastAsia"/>
                <w:bCs/>
                <w:color w:val="000000" w:themeColor="text1"/>
                <w:kern w:val="0"/>
                <w:sz w:val="24"/>
                <w:szCs w:val="24"/>
                <w:u w:color="000000"/>
              </w:rPr>
              <w:t>：　　　</w:t>
            </w:r>
          </w:p>
        </w:tc>
      </w:tr>
    </w:tbl>
    <w:p>
      <w:pPr>
        <w:spacing w:before="5"/>
        <w:rPr>
          <w:b/>
          <w:bCs/>
          <w:color w:val="000000" w:themeColor="text1"/>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r>
        <w:rPr>
          <w:rFonts w:hint="eastAsia"/>
          <w:b/>
          <w:bCs/>
          <w:color w:val="000000" w:themeColor="text1"/>
          <w:sz w:val="24"/>
          <w:szCs w:val="24"/>
          <w:u w:val="single"/>
        </w:rPr>
        <w:t xml:space="preserve">                               </w:t>
      </w:r>
      <w:r>
        <w:rPr>
          <w:rFonts w:hint="eastAsia"/>
          <w:b/>
          <w:bCs/>
          <w:color w:val="000000" w:themeColor="text1"/>
          <w:sz w:val="24"/>
          <w:szCs w:val="24"/>
        </w:rPr>
        <w:t xml:space="preserve"> </w:t>
      </w:r>
    </w:p>
    <w:p>
      <w:pPr>
        <w:spacing w:line="400" w:lineRule="exact"/>
        <w:rPr>
          <w:rFonts w:ascii="黑体" w:eastAsia="黑体"/>
          <w:bCs/>
          <w:color w:val="000000" w:themeColor="text1"/>
          <w:sz w:val="32"/>
        </w:rPr>
      </w:pPr>
    </w:p>
    <w:p>
      <w:pPr>
        <w:rPr>
          <w:rFonts w:ascii="黑体" w:hAnsi="黑体" w:eastAsia="黑体"/>
          <w:sz w:val="28"/>
          <w:szCs w:val="28"/>
        </w:rPr>
      </w:pPr>
      <w:r>
        <w:rPr>
          <w:rFonts w:ascii="宋体" w:hAnsi="宋体"/>
          <w:b/>
          <w:sz w:val="44"/>
        </w:rPr>
        <w:br w:type="page"/>
      </w:r>
      <w:r>
        <w:rPr>
          <w:rFonts w:hint="eastAsia" w:ascii="黑体" w:hAnsi="黑体" w:eastAsia="黑体"/>
          <w:sz w:val="28"/>
          <w:szCs w:val="28"/>
        </w:rPr>
        <w:t>五、明细报价表</w:t>
      </w:r>
    </w:p>
    <w:p>
      <w:pPr>
        <w:spacing w:line="400" w:lineRule="exact"/>
        <w:rPr>
          <w:rFonts w:asciiTheme="minorEastAsia" w:hAnsiTheme="minorEastAsia"/>
          <w:bCs/>
          <w:color w:val="000000" w:themeColor="text1"/>
          <w:sz w:val="24"/>
          <w:szCs w:val="24"/>
          <w:u w:val="single"/>
        </w:rPr>
      </w:pPr>
      <w:r>
        <w:rPr>
          <w:rFonts w:hint="eastAsia" w:asciiTheme="minorEastAsia" w:hAnsiTheme="minorEastAsia"/>
          <w:bCs/>
          <w:color w:val="000000" w:themeColor="text1"/>
          <w:sz w:val="24"/>
          <w:szCs w:val="24"/>
        </w:rPr>
        <w:t>供应商名称（盖章）：</w:t>
      </w:r>
      <w:r>
        <w:rPr>
          <w:rFonts w:hint="eastAsia" w:asciiTheme="minorEastAsia" w:hAnsiTheme="minorEastAsia"/>
          <w:bCs/>
          <w:color w:val="000000" w:themeColor="text1"/>
          <w:sz w:val="24"/>
          <w:szCs w:val="24"/>
          <w:u w:val="single"/>
        </w:rPr>
        <w:t xml:space="preserve">                         </w:t>
      </w:r>
      <w:r>
        <w:rPr>
          <w:rFonts w:hint="eastAsia" w:asciiTheme="minorEastAsia" w:hAnsiTheme="minorEastAsia"/>
          <w:bCs/>
          <w:color w:val="000000" w:themeColor="text1"/>
          <w:sz w:val="24"/>
          <w:szCs w:val="24"/>
        </w:rPr>
        <w:t xml:space="preserve">     采购项目编号：</w:t>
      </w:r>
      <w:r>
        <w:rPr>
          <w:rFonts w:hint="eastAsia" w:asciiTheme="minorEastAsia" w:hAnsiTheme="minorEastAsia"/>
          <w:bCs/>
          <w:color w:val="000000" w:themeColor="text1"/>
          <w:sz w:val="24"/>
          <w:szCs w:val="24"/>
          <w:u w:val="single"/>
        </w:rPr>
        <w:t xml:space="preserve">              </w:t>
      </w:r>
    </w:p>
    <w:p>
      <w:pPr>
        <w:spacing w:line="400" w:lineRule="exact"/>
        <w:rPr>
          <w:rFonts w:ascii="黑体" w:eastAsia="黑体"/>
          <w:bCs/>
          <w:color w:val="000000" w:themeColor="text1"/>
          <w:sz w:val="24"/>
          <w:szCs w:val="24"/>
        </w:rPr>
      </w:pPr>
    </w:p>
    <w:tbl>
      <w:tblPr>
        <w:tblStyle w:val="31"/>
        <w:tblW w:w="4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990"/>
        <w:gridCol w:w="805"/>
        <w:gridCol w:w="2155"/>
        <w:gridCol w:w="256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285" w:type="pct"/>
            <w:noWrap/>
            <w:tcMar>
              <w:top w:w="15" w:type="dxa"/>
              <w:left w:w="15" w:type="dxa"/>
              <w:bottom w:w="0" w:type="dxa"/>
              <w:right w:w="15" w:type="dxa"/>
            </w:tcMar>
            <w:vAlign w:val="center"/>
          </w:tcPr>
          <w:p>
            <w:pPr>
              <w:spacing w:before="5"/>
              <w:jc w:val="center"/>
              <w:rPr>
                <w:color w:val="000000" w:themeColor="text1"/>
                <w:sz w:val="24"/>
                <w:szCs w:val="24"/>
              </w:rPr>
            </w:pPr>
            <w:r>
              <w:rPr>
                <w:rFonts w:hint="eastAsia"/>
                <w:color w:val="000000" w:themeColor="text1"/>
                <w:sz w:val="24"/>
                <w:szCs w:val="24"/>
              </w:rPr>
              <w:t>序号</w:t>
            </w:r>
          </w:p>
        </w:tc>
        <w:tc>
          <w:tcPr>
            <w:tcW w:w="553" w:type="pct"/>
            <w:noWrap/>
            <w:tcMar>
              <w:top w:w="15" w:type="dxa"/>
              <w:left w:w="15" w:type="dxa"/>
              <w:bottom w:w="0" w:type="dxa"/>
              <w:right w:w="15" w:type="dxa"/>
            </w:tcMar>
            <w:vAlign w:val="center"/>
          </w:tcPr>
          <w:p>
            <w:pPr>
              <w:spacing w:before="5"/>
              <w:jc w:val="center"/>
              <w:rPr>
                <w:color w:val="000000" w:themeColor="text1"/>
                <w:sz w:val="24"/>
                <w:szCs w:val="24"/>
                <w:u w:color="FF0000"/>
              </w:rPr>
            </w:pPr>
            <w:r>
              <w:rPr>
                <w:color w:val="000000" w:themeColor="text1"/>
                <w:sz w:val="24"/>
                <w:szCs w:val="24"/>
                <w:u w:color="FF0000"/>
              </w:rPr>
              <w:t>项目名称</w:t>
            </w:r>
          </w:p>
        </w:tc>
        <w:tc>
          <w:tcPr>
            <w:tcW w:w="450" w:type="pct"/>
            <w:noWrap/>
            <w:tcMar>
              <w:top w:w="15" w:type="dxa"/>
              <w:left w:w="15" w:type="dxa"/>
              <w:bottom w:w="0" w:type="dxa"/>
              <w:right w:w="15" w:type="dxa"/>
            </w:tcMar>
            <w:vAlign w:val="center"/>
          </w:tcPr>
          <w:p>
            <w:pPr>
              <w:spacing w:before="5"/>
              <w:jc w:val="center"/>
              <w:rPr>
                <w:color w:val="000000" w:themeColor="text1"/>
                <w:sz w:val="24"/>
                <w:szCs w:val="24"/>
                <w:u w:color="FF0000"/>
              </w:rPr>
            </w:pPr>
            <w:r>
              <w:rPr>
                <w:color w:val="000000" w:themeColor="text1"/>
                <w:sz w:val="24"/>
                <w:szCs w:val="24"/>
                <w:u w:color="FF0000"/>
              </w:rPr>
              <w:t>数量</w:t>
            </w:r>
          </w:p>
        </w:tc>
        <w:tc>
          <w:tcPr>
            <w:tcW w:w="1204" w:type="pct"/>
          </w:tcPr>
          <w:p>
            <w:pPr>
              <w:spacing w:before="5"/>
              <w:jc w:val="center"/>
              <w:rPr>
                <w:color w:val="000000" w:themeColor="text1"/>
                <w:sz w:val="24"/>
                <w:szCs w:val="24"/>
              </w:rPr>
            </w:pPr>
            <w:r>
              <w:rPr>
                <w:color w:val="000000" w:themeColor="text1"/>
                <w:sz w:val="24"/>
                <w:szCs w:val="24"/>
              </w:rPr>
              <w:t>单位</w:t>
            </w:r>
          </w:p>
        </w:tc>
        <w:tc>
          <w:tcPr>
            <w:tcW w:w="1435" w:type="pct"/>
            <w:noWrap/>
            <w:tcMar>
              <w:top w:w="15" w:type="dxa"/>
              <w:left w:w="15" w:type="dxa"/>
              <w:bottom w:w="0" w:type="dxa"/>
              <w:right w:w="15" w:type="dxa"/>
            </w:tcMar>
            <w:vAlign w:val="center"/>
          </w:tcPr>
          <w:p>
            <w:pPr>
              <w:spacing w:before="5"/>
              <w:jc w:val="center"/>
              <w:rPr>
                <w:color w:val="000000" w:themeColor="text1"/>
                <w:sz w:val="24"/>
                <w:szCs w:val="24"/>
              </w:rPr>
            </w:pPr>
            <w:r>
              <w:rPr>
                <w:color w:val="000000" w:themeColor="text1"/>
                <w:sz w:val="24"/>
                <w:szCs w:val="24"/>
              </w:rPr>
              <w:t>单价</w:t>
            </w:r>
          </w:p>
        </w:tc>
        <w:tc>
          <w:tcPr>
            <w:tcW w:w="1072" w:type="pct"/>
            <w:tcMar>
              <w:top w:w="15" w:type="dxa"/>
              <w:left w:w="15" w:type="dxa"/>
              <w:bottom w:w="0" w:type="dxa"/>
              <w:right w:w="15" w:type="dxa"/>
            </w:tcMar>
            <w:vAlign w:val="center"/>
          </w:tcPr>
          <w:p>
            <w:pPr>
              <w:spacing w:before="5"/>
              <w:jc w:val="center"/>
              <w:rPr>
                <w:color w:val="000000" w:themeColor="text1"/>
                <w:sz w:val="24"/>
                <w:szCs w:val="24"/>
              </w:rPr>
            </w:pPr>
            <w:r>
              <w:rPr>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285" w:type="pct"/>
            <w:noWrap/>
            <w:tcMar>
              <w:top w:w="15" w:type="dxa"/>
              <w:left w:w="15" w:type="dxa"/>
              <w:bottom w:w="0" w:type="dxa"/>
              <w:right w:w="15" w:type="dxa"/>
            </w:tcMar>
            <w:vAlign w:val="center"/>
          </w:tcPr>
          <w:p>
            <w:pPr>
              <w:spacing w:before="5"/>
              <w:jc w:val="center"/>
              <w:rPr>
                <w:rFonts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1</w:t>
            </w:r>
          </w:p>
        </w:tc>
        <w:tc>
          <w:tcPr>
            <w:tcW w:w="553" w:type="pct"/>
            <w:noWrap/>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450" w:type="pct"/>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1204" w:type="pct"/>
          </w:tcPr>
          <w:p>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tcPr>
          <w:p>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pPr>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2</w:t>
            </w:r>
          </w:p>
        </w:tc>
        <w:tc>
          <w:tcPr>
            <w:tcW w:w="553"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p>
        </w:tc>
        <w:tc>
          <w:tcPr>
            <w:tcW w:w="450" w:type="pct"/>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1204" w:type="pct"/>
          </w:tcPr>
          <w:p>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vAlign w:val="center"/>
          </w:tcPr>
          <w:p>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pPr>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r>
              <w:rPr>
                <w:rFonts w:asciiTheme="minorEastAsia" w:hAnsiTheme="minorEastAsia"/>
                <w:color w:val="000000" w:themeColor="text1"/>
                <w:szCs w:val="21"/>
              </w:rPr>
              <w:t>…</w:t>
            </w:r>
          </w:p>
        </w:tc>
        <w:tc>
          <w:tcPr>
            <w:tcW w:w="553"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p>
        </w:tc>
        <w:tc>
          <w:tcPr>
            <w:tcW w:w="450" w:type="pct"/>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1204" w:type="pct"/>
          </w:tcPr>
          <w:p>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vAlign w:val="center"/>
          </w:tcPr>
          <w:p>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pPr>
              <w:jc w:val="center"/>
              <w:rPr>
                <w:rFonts w:asciiTheme="minorEastAsia" w:hAnsiTheme="minorEastAsia"/>
                <w:b/>
                <w:bCs/>
                <w:color w:val="000000" w:themeColor="text1"/>
                <w:szCs w:val="21"/>
              </w:rPr>
            </w:pPr>
          </w:p>
        </w:tc>
      </w:tr>
    </w:tbl>
    <w:p>
      <w:pPr>
        <w:spacing w:before="5"/>
        <w:rPr>
          <w:b/>
          <w:bCs/>
          <w:color w:val="000000" w:themeColor="text1"/>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r>
        <w:rPr>
          <w:rFonts w:hint="eastAsia"/>
          <w:b/>
          <w:bCs/>
          <w:color w:val="000000" w:themeColor="text1"/>
          <w:sz w:val="24"/>
          <w:szCs w:val="24"/>
          <w:u w:val="single"/>
        </w:rPr>
        <w:t xml:space="preserve">                               </w:t>
      </w:r>
      <w:r>
        <w:rPr>
          <w:rFonts w:hint="eastAsia"/>
          <w:b/>
          <w:bCs/>
          <w:color w:val="000000" w:themeColor="text1"/>
          <w:sz w:val="24"/>
          <w:szCs w:val="24"/>
        </w:rPr>
        <w:t xml:space="preserve"> </w:t>
      </w:r>
    </w:p>
    <w:p>
      <w:pPr>
        <w:rPr>
          <w:rFonts w:ascii="宋体" w:hAnsi="宋体" w:eastAsia="宋体"/>
          <w:b/>
          <w:sz w:val="24"/>
          <w:szCs w:val="24"/>
        </w:rPr>
      </w:pPr>
    </w:p>
    <w:p>
      <w:pPr>
        <w:rPr>
          <w:rFonts w:ascii="宋体" w:hAnsi="宋体" w:eastAsia="宋体"/>
          <w:bCs/>
          <w:sz w:val="24"/>
          <w:szCs w:val="24"/>
        </w:rPr>
      </w:pPr>
      <w:r>
        <w:rPr>
          <w:rFonts w:hint="eastAsia" w:ascii="宋体" w:hAnsi="宋体" w:eastAsia="宋体"/>
          <w:b/>
          <w:sz w:val="24"/>
          <w:szCs w:val="24"/>
        </w:rPr>
        <w:t>注：</w:t>
      </w:r>
      <w:r>
        <w:rPr>
          <w:rFonts w:hint="eastAsia" w:ascii="宋体" w:hAnsi="宋体" w:eastAsia="宋体"/>
          <w:bCs/>
          <w:sz w:val="24"/>
          <w:szCs w:val="24"/>
        </w:rPr>
        <w:t>（</w:t>
      </w:r>
      <w:r>
        <w:rPr>
          <w:rFonts w:ascii="宋体" w:hAnsi="宋体" w:eastAsia="宋体"/>
          <w:bCs/>
          <w:sz w:val="24"/>
          <w:szCs w:val="24"/>
        </w:rPr>
        <w:t>1</w:t>
      </w:r>
      <w:r>
        <w:rPr>
          <w:rFonts w:hint="eastAsia" w:ascii="宋体" w:hAnsi="宋体" w:eastAsia="宋体"/>
          <w:bCs/>
          <w:sz w:val="24"/>
          <w:szCs w:val="24"/>
        </w:rPr>
        <w:t>）供应商应当根据“项目技术要求和有关说明”的内容在上表中详细填写；</w:t>
      </w:r>
    </w:p>
    <w:p>
      <w:pPr>
        <w:ind w:firstLine="360" w:firstLineChars="150"/>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w:t>
      </w:r>
      <w:r>
        <w:rPr>
          <w:rFonts w:hint="eastAsia" w:ascii="宋体" w:hAnsi="宋体" w:eastAsia="宋体"/>
          <w:bCs/>
          <w:sz w:val="24"/>
          <w:szCs w:val="24"/>
        </w:rPr>
        <w:t>）表格不够可自行延长。</w:t>
      </w:r>
    </w:p>
    <w:p>
      <w:pPr>
        <w:widowControl/>
        <w:jc w:val="left"/>
        <w:rPr>
          <w:rFonts w:ascii="黑体" w:hAnsi="宋体" w:eastAsia="黑体"/>
          <w:bCs/>
          <w:sz w:val="24"/>
          <w:szCs w:val="24"/>
        </w:rPr>
      </w:pPr>
      <w:r>
        <w:rPr>
          <w:rFonts w:ascii="黑体" w:hAnsi="宋体" w:eastAsia="黑体"/>
          <w:bCs/>
          <w:sz w:val="24"/>
          <w:szCs w:val="24"/>
        </w:rPr>
        <w:br w:type="page"/>
      </w:r>
    </w:p>
    <w:p>
      <w:pPr>
        <w:spacing w:line="360" w:lineRule="auto"/>
        <w:rPr>
          <w:rFonts w:ascii="黑体" w:hAnsi="黑体" w:eastAsia="黑体"/>
          <w:sz w:val="28"/>
          <w:szCs w:val="28"/>
        </w:rPr>
      </w:pPr>
      <w:r>
        <w:rPr>
          <w:rFonts w:hint="eastAsia" w:ascii="黑体" w:hAnsi="黑体" w:eastAsia="黑体"/>
          <w:sz w:val="28"/>
          <w:szCs w:val="28"/>
        </w:rPr>
        <w:t>六、技术参数响应及偏离表</w:t>
      </w:r>
    </w:p>
    <w:p>
      <w:pPr>
        <w:jc w:val="center"/>
        <w:rPr>
          <w:rFonts w:ascii="宋体"/>
          <w:bCs/>
          <w:color w:val="000000" w:themeColor="text1"/>
        </w:rPr>
      </w:pPr>
    </w:p>
    <w:p>
      <w:pPr>
        <w:jc w:val="center"/>
        <w:rPr>
          <w:rFonts w:ascii="宋体"/>
          <w:bCs/>
          <w:color w:val="000000" w:themeColor="text1"/>
        </w:rPr>
      </w:pPr>
    </w:p>
    <w:p>
      <w:pPr>
        <w:spacing w:line="400" w:lineRule="exac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供应商名称（盖章）：</w:t>
      </w:r>
      <w:r>
        <w:rPr>
          <w:rFonts w:hint="eastAsia" w:asciiTheme="minorEastAsia" w:hAnsiTheme="minorEastAsia"/>
          <w:bCs/>
          <w:color w:val="000000" w:themeColor="text1"/>
          <w:sz w:val="24"/>
          <w:szCs w:val="24"/>
          <w:u w:val="single"/>
        </w:rPr>
        <w:t xml:space="preserve">                        </w:t>
      </w:r>
      <w:r>
        <w:rPr>
          <w:rFonts w:hint="eastAsia" w:asciiTheme="minorEastAsia" w:hAnsiTheme="minorEastAsia"/>
          <w:bCs/>
          <w:color w:val="000000" w:themeColor="text1"/>
          <w:sz w:val="24"/>
          <w:szCs w:val="24"/>
        </w:rPr>
        <w:t xml:space="preserve">          采购项目编号：</w:t>
      </w:r>
      <w:r>
        <w:rPr>
          <w:rFonts w:hint="eastAsia" w:asciiTheme="minorEastAsia" w:hAnsiTheme="minorEastAsia"/>
          <w:bCs/>
          <w:color w:val="000000" w:themeColor="text1"/>
          <w:sz w:val="24"/>
          <w:szCs w:val="24"/>
          <w:u w:val="single"/>
        </w:rPr>
        <w:t xml:space="preserve">           </w:t>
      </w:r>
    </w:p>
    <w:p>
      <w:pPr>
        <w:spacing w:line="400" w:lineRule="exact"/>
        <w:rPr>
          <w:rFonts w:ascii="黑体" w:eastAsia="黑体"/>
          <w:bCs/>
          <w:color w:val="000000" w:themeColor="text1"/>
          <w:sz w:val="24"/>
          <w:szCs w:val="24"/>
        </w:rPr>
      </w:pPr>
    </w:p>
    <w:tbl>
      <w:tblPr>
        <w:tblStyle w:val="3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color w:val="000000" w:themeColor="text1"/>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color w:val="000000" w:themeColor="text1"/>
              </w:rPr>
            </w:pPr>
          </w:p>
        </w:tc>
      </w:tr>
    </w:tbl>
    <w:p>
      <w:pPr>
        <w:rPr>
          <w:rFonts w:asciiTheme="minorEastAsia" w:hAnsiTheme="minorEastAsia"/>
          <w:b/>
          <w:color w:val="000000" w:themeColor="text1"/>
          <w:sz w:val="24"/>
          <w:szCs w:val="24"/>
        </w:rPr>
      </w:pPr>
    </w:p>
    <w:p>
      <w:pPr>
        <w:spacing w:before="5"/>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法定代表人或被授权代表（签字或盖章）：</w:t>
      </w:r>
      <w:r>
        <w:rPr>
          <w:rFonts w:hint="eastAsia" w:asciiTheme="minorEastAsia" w:hAnsiTheme="minorEastAsia"/>
          <w:b/>
          <w:bCs/>
          <w:color w:val="000000" w:themeColor="text1"/>
          <w:sz w:val="24"/>
          <w:szCs w:val="24"/>
          <w:u w:val="single"/>
        </w:rPr>
        <w:t xml:space="preserve">                               </w:t>
      </w:r>
      <w:r>
        <w:rPr>
          <w:rFonts w:hint="eastAsia" w:asciiTheme="minorEastAsia" w:hAnsiTheme="minorEastAsia"/>
          <w:b/>
          <w:bCs/>
          <w:color w:val="000000" w:themeColor="text1"/>
          <w:sz w:val="24"/>
          <w:szCs w:val="24"/>
        </w:rPr>
        <w:t xml:space="preserve"> </w:t>
      </w:r>
    </w:p>
    <w:p>
      <w:pPr>
        <w:rPr>
          <w:rFonts w:asciiTheme="minorEastAsia" w:hAnsiTheme="minorEastAsia"/>
          <w:bCs/>
          <w:color w:val="000000" w:themeColor="text1"/>
          <w:sz w:val="30"/>
        </w:rPr>
      </w:pP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注：</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1</w:t>
      </w:r>
      <w:r>
        <w:rPr>
          <w:rFonts w:hint="eastAsia" w:asciiTheme="minorEastAsia" w:hAnsiTheme="minorEastAsia"/>
          <w:color w:val="000000" w:themeColor="text1"/>
          <w:sz w:val="24"/>
          <w:szCs w:val="24"/>
        </w:rPr>
        <w:t>）本表不得删除；</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2</w:t>
      </w:r>
      <w:r>
        <w:rPr>
          <w:rFonts w:hint="eastAsia" w:asciiTheme="minorEastAsia" w:hAnsiTheme="minorEastAsia"/>
          <w:color w:val="000000" w:themeColor="text1"/>
          <w:sz w:val="24"/>
          <w:szCs w:val="24"/>
        </w:rPr>
        <w:t>）如无任何技术偏离，请于本表 “偏离说明”中注明“无偏离”；</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（3）如有技术偏离项，请于本表中列明偏离内容，如需要可自行延长，其余无偏离内容不须赘述。</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widowControl/>
        <w:jc w:val="left"/>
        <w:rPr>
          <w:rFonts w:ascii="宋体" w:hAnsi="宋体"/>
          <w:sz w:val="24"/>
        </w:rPr>
      </w:pPr>
      <w:r>
        <w:rPr>
          <w:rFonts w:ascii="宋体" w:hAnsi="宋体"/>
          <w:sz w:val="24"/>
        </w:rPr>
        <w:br w:type="page"/>
      </w:r>
    </w:p>
    <w:p>
      <w:pPr>
        <w:spacing w:line="360" w:lineRule="auto"/>
        <w:rPr>
          <w:rFonts w:ascii="黑体" w:hAnsi="黑体" w:eastAsia="黑体"/>
          <w:sz w:val="28"/>
          <w:szCs w:val="28"/>
        </w:rPr>
      </w:pPr>
      <w:r>
        <w:rPr>
          <w:rFonts w:hint="eastAsia" w:ascii="黑体" w:hAnsi="黑体" w:eastAsia="黑体"/>
          <w:sz w:val="28"/>
          <w:szCs w:val="28"/>
        </w:rPr>
        <w:t>七、商务条款响应及偏离表</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sz w:val="24"/>
                <w:szCs w:val="20"/>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bl>
    <w:p>
      <w:pPr>
        <w:rPr>
          <w:rFonts w:ascii="宋体" w:hAnsi="宋体"/>
          <w:sz w:val="24"/>
        </w:rPr>
      </w:pPr>
    </w:p>
    <w:p>
      <w:pPr>
        <w:spacing w:line="360" w:lineRule="auto"/>
        <w:jc w:val="center"/>
        <w:rPr>
          <w:rFonts w:ascii="宋体" w:hAnsi="宋体"/>
          <w:b/>
          <w:sz w:val="32"/>
          <w:szCs w:val="32"/>
        </w:rPr>
      </w:pPr>
      <w:r>
        <w:rPr>
          <w:rFonts w:ascii="宋体" w:hAnsi="宋体"/>
          <w:b/>
          <w:sz w:val="32"/>
          <w:szCs w:val="32"/>
        </w:rPr>
        <w:br w:type="page"/>
      </w:r>
    </w:p>
    <w:p>
      <w:pPr>
        <w:spacing w:line="360" w:lineRule="auto"/>
        <w:rPr>
          <w:rFonts w:ascii="黑体" w:hAnsi="黑体" w:eastAsia="黑体"/>
          <w:bCs/>
          <w:sz w:val="28"/>
          <w:szCs w:val="28"/>
        </w:rPr>
      </w:pPr>
      <w:r>
        <w:rPr>
          <w:rFonts w:hint="eastAsia" w:ascii="黑体" w:hAnsi="黑体" w:eastAsia="黑体"/>
          <w:sz w:val="28"/>
          <w:szCs w:val="28"/>
        </w:rPr>
        <w:t>八、技术方案、服务承诺、培训承诺</w:t>
      </w:r>
    </w:p>
    <w:p>
      <w:bookmarkStart w:id="57" w:name="_Toc59000746"/>
    </w:p>
    <w:p>
      <w:pPr>
        <w:rPr>
          <w:sz w:val="24"/>
          <w:szCs w:val="24"/>
        </w:rPr>
      </w:pPr>
      <w:r>
        <w:rPr>
          <w:rFonts w:hint="eastAsia"/>
          <w:sz w:val="24"/>
          <w:szCs w:val="24"/>
        </w:rPr>
        <w:t>（内容格式自定）</w:t>
      </w:r>
      <w:bookmarkEnd w:id="57"/>
    </w:p>
    <w:p>
      <w:pPr>
        <w:rPr>
          <w:sz w:val="30"/>
        </w:rPr>
      </w:pPr>
      <w:r>
        <w:rPr>
          <w:rFonts w:hint="eastAsia"/>
          <w:sz w:val="30"/>
        </w:rPr>
        <w:t xml:space="preserve">    </w:t>
      </w:r>
      <w:r>
        <w:rPr>
          <w:sz w:val="30"/>
        </w:rPr>
        <w:t>……</w:t>
      </w:r>
    </w:p>
    <w:p>
      <w:pPr>
        <w:rPr>
          <w:rFonts w:ascii="黑体" w:eastAsia="黑体"/>
          <w:bCs/>
          <w:color w:val="000000" w:themeColor="text1"/>
          <w:kern w:val="0"/>
          <w:sz w:val="24"/>
          <w:szCs w:val="24"/>
        </w:rPr>
      </w:pPr>
      <w:bookmarkStart w:id="58" w:name="_Toc55147059"/>
      <w:r>
        <w:br w:type="page"/>
      </w:r>
    </w:p>
    <w:bookmarkEnd w:id="58"/>
    <w:p>
      <w:pPr>
        <w:spacing w:line="360" w:lineRule="auto"/>
        <w:rPr>
          <w:rFonts w:ascii="黑体" w:hAnsi="黑体" w:eastAsia="黑体"/>
          <w:bCs/>
          <w:sz w:val="28"/>
          <w:szCs w:val="28"/>
        </w:rPr>
      </w:pPr>
      <w:bookmarkStart w:id="59" w:name="_Toc55147061"/>
      <w:r>
        <w:rPr>
          <w:rFonts w:hint="eastAsia" w:ascii="黑体" w:hAnsi="黑体" w:eastAsia="黑体"/>
          <w:sz w:val="28"/>
          <w:szCs w:val="28"/>
        </w:rPr>
        <w:t>九、其他格式附件</w:t>
      </w:r>
    </w:p>
    <w:p>
      <w:pPr>
        <w:rPr>
          <w:rFonts w:ascii="黑体" w:hAnsi="黑体" w:eastAsia="黑体"/>
          <w:sz w:val="24"/>
          <w:szCs w:val="24"/>
        </w:rPr>
      </w:pPr>
      <w:r>
        <w:rPr>
          <w:rFonts w:hint="eastAsia" w:ascii="黑体" w:hAnsi="黑体" w:eastAsia="黑体"/>
          <w:sz w:val="24"/>
          <w:szCs w:val="24"/>
        </w:rPr>
        <w:t>（一）响应函（格式）</w:t>
      </w:r>
    </w:p>
    <w:p>
      <w:pPr>
        <w:spacing w:line="360" w:lineRule="auto"/>
        <w:jc w:val="center"/>
        <w:rPr>
          <w:rFonts w:ascii="宋体"/>
          <w:bCs/>
          <w:color w:val="000000" w:themeColor="text1"/>
          <w:sz w:val="24"/>
          <w:szCs w:val="24"/>
        </w:rPr>
      </w:pPr>
      <w:r>
        <w:rPr>
          <w:rFonts w:hint="eastAsia" w:ascii="黑体" w:eastAsia="黑体"/>
          <w:bCs/>
          <w:color w:val="000000" w:themeColor="text1"/>
          <w:sz w:val="28"/>
          <w:szCs w:val="28"/>
        </w:rPr>
        <w:t>响应函</w:t>
      </w:r>
    </w:p>
    <w:p>
      <w:pPr>
        <w:spacing w:line="360" w:lineRule="auto"/>
        <w:rPr>
          <w:rFonts w:ascii="宋体"/>
          <w:bCs/>
          <w:color w:val="000000" w:themeColor="text1"/>
          <w:sz w:val="24"/>
          <w:szCs w:val="24"/>
        </w:rPr>
      </w:pPr>
      <w:r>
        <w:rPr>
          <w:rFonts w:hint="eastAsia" w:ascii="宋体" w:hAnsi="宋体"/>
          <w:bCs/>
          <w:color w:val="000000" w:themeColor="text1"/>
          <w:sz w:val="24"/>
          <w:szCs w:val="24"/>
        </w:rPr>
        <w:t>致江苏仁禾中衡工程咨询房地产估价有限公司：</w:t>
      </w:r>
    </w:p>
    <w:p>
      <w:pPr>
        <w:spacing w:line="360" w:lineRule="auto"/>
        <w:ind w:firstLine="480" w:firstLineChars="200"/>
        <w:rPr>
          <w:rFonts w:ascii="宋体"/>
          <w:bCs/>
          <w:color w:val="000000" w:themeColor="text1"/>
          <w:sz w:val="24"/>
          <w:szCs w:val="24"/>
        </w:rPr>
      </w:pP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我方收到贵方编号</w:t>
      </w:r>
      <w:r>
        <w:rPr>
          <w:rFonts w:hint="eastAsia" w:ascii="宋体" w:hAnsi="宋体"/>
          <w:bCs/>
          <w:color w:val="000000" w:themeColor="text1"/>
          <w:sz w:val="24"/>
          <w:szCs w:val="24"/>
          <w:u w:val="single"/>
        </w:rPr>
        <w:t xml:space="preserve">          </w:t>
      </w:r>
      <w:r>
        <w:rPr>
          <w:rFonts w:hint="eastAsia" w:ascii="宋体" w:hAnsi="宋体"/>
          <w:bCs/>
          <w:color w:val="000000" w:themeColor="text1"/>
          <w:sz w:val="24"/>
          <w:szCs w:val="24"/>
        </w:rPr>
        <w:t>采购文件，经仔细阅读和研究，我方决定参加此项目的报价。</w:t>
      </w:r>
    </w:p>
    <w:p>
      <w:pPr>
        <w:numPr>
          <w:ilvl w:val="0"/>
          <w:numId w:val="8"/>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rPr>
      </w:pPr>
      <w:r>
        <w:rPr>
          <w:rFonts w:hint="eastAsia" w:ascii="宋体" w:hAnsi="宋体"/>
          <w:bCs/>
          <w:color w:val="000000" w:themeColor="text1"/>
          <w:sz w:val="24"/>
          <w:szCs w:val="24"/>
        </w:rPr>
        <w:t>我方愿意按照采购文件的一切要求，提供本项目的报价，总价见《报价一览表》。</w:t>
      </w:r>
    </w:p>
    <w:p>
      <w:pPr>
        <w:numPr>
          <w:ilvl w:val="0"/>
          <w:numId w:val="8"/>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Times New Roman" w:eastAsia="宋体" w:cs="Times New Roman"/>
          <w:bCs/>
          <w:color w:val="000000" w:themeColor="text1"/>
          <w:sz w:val="24"/>
          <w:szCs w:val="24"/>
        </w:rPr>
      </w:pPr>
      <w:r>
        <w:rPr>
          <w:rFonts w:hint="eastAsia" w:ascii="宋体" w:hAnsi="宋体"/>
          <w:bCs/>
          <w:color w:val="000000" w:themeColor="text1"/>
          <w:sz w:val="24"/>
          <w:szCs w:val="24"/>
        </w:rPr>
        <w:t>我方愿意提供采购文件中要求的文件、资料。</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color w:val="000000" w:themeColor="text1"/>
          <w:sz w:val="24"/>
          <w:szCs w:val="24"/>
        </w:rPr>
        <w:t>我方同意按采购文件中的规定，本响应文件报价的有效期限为报价截止之日起</w:t>
      </w:r>
      <w:r>
        <w:rPr>
          <w:rFonts w:ascii="宋体" w:hAnsi="宋体"/>
          <w:bCs/>
          <w:color w:val="000000" w:themeColor="text1"/>
          <w:sz w:val="24"/>
          <w:szCs w:val="24"/>
        </w:rPr>
        <w:t>90</w:t>
      </w:r>
      <w:r>
        <w:rPr>
          <w:rFonts w:hint="eastAsia" w:ascii="宋体" w:hAnsi="宋体"/>
          <w:bCs/>
          <w:color w:val="000000" w:themeColor="text1"/>
          <w:sz w:val="24"/>
          <w:szCs w:val="24"/>
        </w:rPr>
        <w:t>天。</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color w:val="000000" w:themeColor="text1"/>
          <w:sz w:val="24"/>
          <w:szCs w:val="24"/>
        </w:rPr>
        <w:t>如果我方的响应文件被接受，我方将履行采购文件中规定的每一项要求，按期、按质、按量，完成交货任务。</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color w:val="000000" w:themeColor="text1"/>
          <w:sz w:val="24"/>
          <w:szCs w:val="24"/>
        </w:rPr>
        <w:t>我方愿意遵守《中华人民共</w:t>
      </w:r>
      <w:r>
        <w:rPr>
          <w:rFonts w:hint="eastAsia" w:ascii="宋体" w:hAnsi="宋体"/>
          <w:bCs/>
          <w:sz w:val="24"/>
          <w:szCs w:val="24"/>
        </w:rPr>
        <w:t>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w:t>
      </w:r>
      <w:r>
        <w:rPr>
          <w:rFonts w:hint="eastAsia" w:ascii="宋体" w:hAnsi="宋体"/>
          <w:bCs/>
          <w:color w:val="000000" w:themeColor="text1"/>
          <w:sz w:val="24"/>
          <w:szCs w:val="24"/>
        </w:rPr>
        <w:t>采购</w:t>
      </w:r>
      <w:r>
        <w:rPr>
          <w:rFonts w:hint="eastAsia" w:ascii="宋体" w:hAnsi="宋体"/>
          <w:bCs/>
          <w:sz w:val="24"/>
          <w:szCs w:val="24"/>
        </w:rPr>
        <w:t>文件所有的规定。</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我方愿意按</w:t>
      </w:r>
      <w:r>
        <w:rPr>
          <w:rFonts w:hint="eastAsia" w:ascii="宋体" w:hAnsi="宋体"/>
          <w:bCs/>
          <w:color w:val="000000" w:themeColor="text1"/>
          <w:sz w:val="24"/>
          <w:szCs w:val="24"/>
        </w:rPr>
        <w:t>采购</w:t>
      </w:r>
      <w:r>
        <w:rPr>
          <w:rFonts w:hint="eastAsia" w:ascii="宋体" w:hAnsi="宋体"/>
          <w:bCs/>
          <w:sz w:val="24"/>
          <w:szCs w:val="24"/>
        </w:rPr>
        <w:t>文件的规定填写《投标（报价）承诺函》。如我方在报价截止期后撤回响应及成交后拒绝遵守报价承诺或拒绝在规定的时间内与采购人签订合同，则接受政府采购监督管理部门的处理。</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如果我方被确定为成交供应商，我方愿意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w:t>
      </w:r>
      <w:r>
        <w:rPr>
          <w:rFonts w:hint="eastAsia" w:ascii="宋体" w:hAnsi="宋体"/>
          <w:bCs/>
          <w:color w:val="000000" w:themeColor="text1"/>
          <w:sz w:val="24"/>
          <w:szCs w:val="24"/>
        </w:rPr>
        <w:t>采购</w:t>
      </w:r>
      <w:r>
        <w:rPr>
          <w:rFonts w:hint="eastAsia" w:ascii="宋体" w:hAnsi="宋体"/>
          <w:bCs/>
          <w:sz w:val="24"/>
          <w:szCs w:val="24"/>
        </w:rPr>
        <w:t>文件、响应文件和合同条款的，一经查实，我方愿意赔偿由此而造成的一切损失，并同意接受按</w:t>
      </w:r>
      <w:r>
        <w:rPr>
          <w:rFonts w:hint="eastAsia" w:ascii="宋体" w:hAnsi="宋体"/>
          <w:bCs/>
          <w:color w:val="000000" w:themeColor="text1"/>
          <w:sz w:val="24"/>
          <w:szCs w:val="24"/>
        </w:rPr>
        <w:t>采购</w:t>
      </w:r>
      <w:r>
        <w:rPr>
          <w:rFonts w:hint="eastAsia" w:ascii="宋体" w:hAnsi="宋体"/>
          <w:bCs/>
          <w:sz w:val="24"/>
          <w:szCs w:val="24"/>
        </w:rPr>
        <w:t>文件的相关要求对我方进行的处理。</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sz w:val="24"/>
          <w:szCs w:val="24"/>
        </w:rPr>
        <w:t>我方决不提供虚假材料谋取成交、决不采取不正当手段诋毁、排挤其他供应商、决不与采购人、其它供应商或者采购代理机构恶意串通</w:t>
      </w:r>
      <w:r>
        <w:rPr>
          <w:rFonts w:hint="eastAsia" w:ascii="宋体" w:hAnsi="宋体"/>
          <w:bCs/>
          <w:color w:val="000000" w:themeColor="text1"/>
          <w:sz w:val="24"/>
          <w:szCs w:val="24"/>
        </w:rPr>
        <w:t>、决不向采购人、</w:t>
      </w:r>
      <w:r>
        <w:rPr>
          <w:rFonts w:hint="eastAsia" w:ascii="宋体" w:hAnsi="宋体"/>
          <w:bCs/>
          <w:sz w:val="24"/>
          <w:szCs w:val="24"/>
        </w:rPr>
        <w:t>采购代理机构</w:t>
      </w:r>
      <w:r>
        <w:rPr>
          <w:rFonts w:hint="eastAsia" w:ascii="宋体" w:hAnsi="宋体"/>
          <w:bCs/>
          <w:color w:val="000000" w:themeColor="text1"/>
          <w:sz w:val="24"/>
          <w:szCs w:val="24"/>
        </w:rPr>
        <w:t>工作人员和评委进行商业贿赂、决不在采购过程中与采购人进行协商谈判、决不拒绝有关部门监督检查或提供虚假情况，如有违反，无条件接受贵方及相关管理部门的处罚。</w:t>
      </w:r>
    </w:p>
    <w:p>
      <w:pPr>
        <w:numPr>
          <w:ilvl w:val="0"/>
          <w:numId w:val="8"/>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sz w:val="24"/>
          <w:szCs w:val="24"/>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供应商（盖章）：</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法定代表人或法定代表人授权代表签字或盖章：</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 xml:space="preserve">电话： </w:t>
      </w:r>
      <w:r>
        <w:rPr>
          <w:rFonts w:ascii="宋体" w:hAnsi="宋体"/>
          <w:bCs/>
          <w:color w:val="000000" w:themeColor="text1"/>
          <w:sz w:val="24"/>
          <w:szCs w:val="24"/>
        </w:rPr>
        <w:t xml:space="preserve">                </w:t>
      </w:r>
      <w:r>
        <w:rPr>
          <w:rFonts w:hint="eastAsia" w:ascii="宋体" w:hAnsi="宋体"/>
          <w:bCs/>
          <w:color w:val="000000" w:themeColor="text1"/>
          <w:sz w:val="24"/>
          <w:szCs w:val="24"/>
        </w:rPr>
        <w:t>传真：</w:t>
      </w:r>
    </w:p>
    <w:p>
      <w:pPr>
        <w:spacing w:line="40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 xml:space="preserve">通讯地址： </w:t>
      </w:r>
      <w:r>
        <w:rPr>
          <w:rFonts w:ascii="宋体" w:hAnsi="宋体"/>
          <w:bCs/>
          <w:color w:val="000000" w:themeColor="text1"/>
          <w:sz w:val="24"/>
          <w:szCs w:val="24"/>
        </w:rPr>
        <w:t xml:space="preserve">            </w:t>
      </w:r>
      <w:r>
        <w:rPr>
          <w:rFonts w:hint="eastAsia" w:ascii="宋体" w:hAnsi="宋体"/>
          <w:bCs/>
          <w:color w:val="000000" w:themeColor="text1"/>
          <w:sz w:val="24"/>
          <w:szCs w:val="24"/>
        </w:rPr>
        <w:t>邮编：</w:t>
      </w:r>
      <w:bookmarkStart w:id="60" w:name="_Toc55147054"/>
    </w:p>
    <w:p>
      <w:pPr>
        <w:widowControl/>
        <w:jc w:val="left"/>
        <w:rPr>
          <w:rFonts w:ascii="黑体" w:hAnsi="黑体" w:eastAsia="黑体"/>
          <w:sz w:val="24"/>
          <w:szCs w:val="24"/>
        </w:rPr>
      </w:pPr>
      <w:r>
        <w:rPr>
          <w:rFonts w:ascii="黑体" w:hAnsi="黑体" w:eastAsia="黑体"/>
          <w:sz w:val="24"/>
          <w:szCs w:val="24"/>
        </w:rPr>
        <w:br w:type="page"/>
      </w:r>
    </w:p>
    <w:p>
      <w:pPr>
        <w:rPr>
          <w:rFonts w:ascii="黑体" w:hAnsi="黑体" w:eastAsia="黑体"/>
          <w:sz w:val="24"/>
          <w:szCs w:val="24"/>
        </w:rPr>
      </w:pPr>
      <w:r>
        <w:rPr>
          <w:rFonts w:hint="eastAsia" w:ascii="黑体" w:hAnsi="黑体" w:eastAsia="黑体"/>
          <w:sz w:val="24"/>
          <w:szCs w:val="24"/>
        </w:rPr>
        <w:t>（二）</w:t>
      </w:r>
      <w:bookmarkEnd w:id="60"/>
      <w:r>
        <w:rPr>
          <w:rFonts w:hint="eastAsia" w:ascii="黑体" w:hAnsi="黑体" w:eastAsia="黑体"/>
          <w:sz w:val="24"/>
          <w:szCs w:val="24"/>
        </w:rPr>
        <w:t>关于资格的声明函（格式）</w:t>
      </w:r>
    </w:p>
    <w:p>
      <w:pPr>
        <w:spacing w:line="360" w:lineRule="auto"/>
        <w:rPr>
          <w:rFonts w:ascii="黑体" w:eastAsia="黑体"/>
          <w:bCs/>
          <w:color w:val="000000" w:themeColor="text1"/>
          <w:sz w:val="36"/>
        </w:rPr>
      </w:pPr>
    </w:p>
    <w:p>
      <w:pPr>
        <w:spacing w:line="480" w:lineRule="auto"/>
        <w:ind w:firstLine="560" w:firstLineChars="200"/>
        <w:jc w:val="center"/>
        <w:rPr>
          <w:rFonts w:ascii="黑体" w:hAnsi="黑体" w:eastAsia="黑体"/>
          <w:bCs/>
          <w:color w:val="000000" w:themeColor="text1"/>
          <w:sz w:val="28"/>
          <w:szCs w:val="28"/>
        </w:rPr>
      </w:pPr>
      <w:bookmarkStart w:id="61" w:name="报价方关于资格的声明函（格式）"/>
      <w:bookmarkEnd w:id="61"/>
      <w:r>
        <w:rPr>
          <w:rFonts w:hint="eastAsia" w:ascii="黑体" w:hAnsi="黑体" w:eastAsia="黑体"/>
          <w:bCs/>
          <w:color w:val="000000" w:themeColor="text1"/>
          <w:sz w:val="28"/>
          <w:szCs w:val="28"/>
        </w:rPr>
        <w:t>关于资格的声明函</w:t>
      </w:r>
    </w:p>
    <w:p>
      <w:pPr>
        <w:spacing w:line="480" w:lineRule="auto"/>
        <w:jc w:val="center"/>
        <w:rPr>
          <w:rFonts w:ascii="宋体"/>
          <w:bCs/>
          <w:color w:val="000000" w:themeColor="text1"/>
          <w:sz w:val="24"/>
          <w:szCs w:val="24"/>
        </w:rPr>
      </w:pP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江苏仁禾中衡工程咨询房地产估价有限公司：</w:t>
      </w:r>
    </w:p>
    <w:p>
      <w:pPr>
        <w:spacing w:line="360" w:lineRule="auto"/>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我公司（单位）参加本次项目（项目编号：</w:t>
      </w:r>
      <w:r>
        <w:rPr>
          <w:rFonts w:hint="eastAsia" w:asciiTheme="minorEastAsia" w:hAnsiTheme="minorEastAsia"/>
          <w:bCs/>
          <w:color w:val="000000" w:themeColor="text1"/>
          <w:sz w:val="24"/>
          <w:szCs w:val="24"/>
          <w:u w:val="single"/>
        </w:rPr>
        <w:t xml:space="preserve">                   </w:t>
      </w:r>
      <w:r>
        <w:rPr>
          <w:rFonts w:hint="eastAsia" w:asciiTheme="minorEastAsia" w:hAnsiTheme="minorEastAsia"/>
          <w:bCs/>
          <w:color w:val="000000" w:themeColor="text1"/>
          <w:sz w:val="24"/>
          <w:szCs w:val="24"/>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Theme="minorEastAsia" w:hAnsiTheme="minorEastAsia"/>
          <w:bCs/>
          <w:color w:val="000000" w:themeColor="text1"/>
          <w:sz w:val="24"/>
          <w:szCs w:val="24"/>
        </w:rPr>
      </w:pP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供应商（盖章）：</w:t>
      </w: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法定代表人或法定代表人授权代表（签字或盖章）：</w:t>
      </w:r>
    </w:p>
    <w:p>
      <w:pPr>
        <w:spacing w:line="360" w:lineRule="auto"/>
        <w:rPr>
          <w:rFonts w:asciiTheme="minorEastAsia" w:hAnsiTheme="minorEastAsia"/>
          <w:bCs/>
          <w:color w:val="000000" w:themeColor="text1"/>
          <w:sz w:val="24"/>
          <w:szCs w:val="24"/>
        </w:rPr>
      </w:pPr>
      <w:r>
        <w:rPr>
          <w:rFonts w:asciiTheme="minorEastAsia" w:hAnsiTheme="minorEastAsia"/>
          <w:sz w:val="24"/>
          <w:szCs w:val="24"/>
        </w:rPr>
        <w:t>日期:</w:t>
      </w:r>
      <w:r>
        <w:rPr>
          <w:rFonts w:hint="eastAsia" w:asciiTheme="minorEastAsia" w:hAnsiTheme="minorEastAsia"/>
          <w:bCs/>
          <w:sz w:val="24"/>
          <w:u w:val="single"/>
        </w:rPr>
        <w:t xml:space="preserve"> ______</w:t>
      </w:r>
      <w:r>
        <w:rPr>
          <w:rFonts w:hint="eastAsia" w:asciiTheme="minorEastAsia" w:hAnsiTheme="minorEastAsia"/>
          <w:bCs/>
          <w:sz w:val="24"/>
        </w:rPr>
        <w:t>年</w:t>
      </w:r>
      <w:r>
        <w:rPr>
          <w:rFonts w:hint="eastAsia" w:asciiTheme="minorEastAsia" w:hAnsiTheme="minorEastAsia"/>
          <w:bCs/>
          <w:sz w:val="24"/>
          <w:u w:val="single"/>
        </w:rPr>
        <w:t xml:space="preserve">    </w:t>
      </w:r>
      <w:r>
        <w:rPr>
          <w:rFonts w:hint="eastAsia" w:asciiTheme="minorEastAsia" w:hAnsiTheme="minorEastAsia"/>
          <w:bCs/>
          <w:sz w:val="24"/>
        </w:rPr>
        <w:t>月</w:t>
      </w:r>
      <w:r>
        <w:rPr>
          <w:rFonts w:hint="eastAsia" w:asciiTheme="minorEastAsia" w:hAnsiTheme="minorEastAsia"/>
          <w:bCs/>
          <w:sz w:val="24"/>
          <w:u w:val="single"/>
        </w:rPr>
        <w:t xml:space="preserve">    </w:t>
      </w:r>
      <w:r>
        <w:rPr>
          <w:rFonts w:hint="eastAsia" w:asciiTheme="minorEastAsia" w:hAnsiTheme="minorEastAsia"/>
          <w:bCs/>
          <w:sz w:val="24"/>
        </w:rPr>
        <w:t>日</w:t>
      </w: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备注：上述所称“重大违法记录”,是指供应商因违法经营受到刑事处罚或者责令停产停业、吊销许可证或者执照、较大数额罚款等行政处罚。</w:t>
      </w:r>
    </w:p>
    <w:p>
      <w:pPr>
        <w:widowControl/>
        <w:jc w:val="left"/>
        <w:rPr>
          <w:rFonts w:ascii="黑体" w:hAnsi="宋体" w:eastAsia="黑体"/>
          <w:bCs/>
          <w:color w:val="000000" w:themeColor="text1"/>
          <w:sz w:val="24"/>
          <w:szCs w:val="24"/>
        </w:rPr>
      </w:pPr>
      <w:r>
        <w:rPr>
          <w:rFonts w:ascii="黑体" w:hAnsi="宋体" w:eastAsia="黑体"/>
          <w:bCs/>
          <w:color w:val="000000" w:themeColor="text1"/>
          <w:sz w:val="24"/>
          <w:szCs w:val="24"/>
        </w:rPr>
        <w:br w:type="page"/>
      </w:r>
    </w:p>
    <w:p>
      <w:pPr>
        <w:rPr>
          <w:rFonts w:ascii="黑体" w:hAnsi="黑体" w:eastAsia="黑体"/>
          <w:sz w:val="24"/>
          <w:szCs w:val="24"/>
        </w:rPr>
      </w:pPr>
      <w:r>
        <w:rPr>
          <w:rFonts w:hint="eastAsia" w:ascii="黑体" w:hAnsi="黑体" w:eastAsia="黑体"/>
          <w:sz w:val="24"/>
          <w:szCs w:val="24"/>
        </w:rPr>
        <w:t>（三）联合体协议（格式）</w:t>
      </w: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jc w:val="center"/>
        <w:rPr>
          <w:rFonts w:ascii="宋体" w:hAnsi="宋体"/>
          <w:bCs/>
          <w:sz w:val="24"/>
          <w:szCs w:val="21"/>
        </w:rPr>
      </w:pPr>
      <w:r>
        <w:rPr>
          <w:rFonts w:hint="eastAsia" w:ascii="宋体" w:hAnsi="宋体"/>
          <w:bCs/>
          <w:sz w:val="24"/>
          <w:szCs w:val="21"/>
        </w:rPr>
        <w:t>本项目无</w:t>
      </w: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560" w:lineRule="exact"/>
        <w:ind w:firstLine="240" w:firstLineChars="100"/>
        <w:rPr>
          <w:rFonts w:ascii="宋体" w:hAnsi="宋体"/>
          <w:sz w:val="24"/>
          <w:szCs w:val="21"/>
        </w:rPr>
      </w:pPr>
    </w:p>
    <w:p>
      <w:pPr>
        <w:widowControl/>
        <w:jc w:val="left"/>
        <w:rPr>
          <w:rFonts w:ascii="黑体" w:hAnsi="宋体" w:eastAsia="黑体"/>
          <w:bCs/>
          <w:color w:val="000000" w:themeColor="text1"/>
          <w:sz w:val="24"/>
          <w:szCs w:val="24"/>
        </w:rPr>
      </w:pPr>
      <w:r>
        <w:rPr>
          <w:rFonts w:ascii="黑体" w:hAnsi="宋体" w:eastAsia="黑体"/>
          <w:bCs/>
          <w:color w:val="000000" w:themeColor="text1"/>
          <w:sz w:val="24"/>
          <w:szCs w:val="24"/>
        </w:rPr>
        <w:br w:type="page"/>
      </w:r>
    </w:p>
    <w:p>
      <w:pPr>
        <w:widowControl/>
        <w:jc w:val="left"/>
        <w:rPr>
          <w:rFonts w:ascii="黑体" w:hAnsi="宋体" w:eastAsia="黑体"/>
          <w:bCs/>
          <w:color w:val="000000" w:themeColor="text1"/>
          <w:sz w:val="24"/>
          <w:szCs w:val="24"/>
        </w:rPr>
      </w:pPr>
      <w:bookmarkStart w:id="62" w:name="_Toc55147055"/>
      <w:r>
        <w:rPr>
          <w:rFonts w:hint="eastAsia" w:ascii="黑体" w:hAnsi="宋体" w:eastAsia="黑体"/>
          <w:bCs/>
          <w:color w:val="000000" w:themeColor="text1"/>
          <w:sz w:val="24"/>
          <w:szCs w:val="24"/>
        </w:rPr>
        <w:t>（四）法定代表人资格证明书/法定代表人授权委托书</w:t>
      </w:r>
      <w:bookmarkEnd w:id="62"/>
      <w:r>
        <w:rPr>
          <w:rFonts w:hint="eastAsia" w:ascii="黑体" w:hAnsi="黑体" w:eastAsia="黑体"/>
          <w:sz w:val="24"/>
          <w:szCs w:val="24"/>
        </w:rPr>
        <w:t>（格式）</w:t>
      </w:r>
    </w:p>
    <w:p>
      <w:pPr>
        <w:spacing w:line="580" w:lineRule="exact"/>
        <w:jc w:val="center"/>
        <w:rPr>
          <w:rFonts w:ascii="黑体" w:hAnsi="黑体" w:eastAsia="黑体"/>
          <w:bCs/>
          <w:color w:val="000000" w:themeColor="text1"/>
          <w:sz w:val="28"/>
          <w:szCs w:val="28"/>
        </w:rPr>
      </w:pPr>
      <w:r>
        <w:rPr>
          <w:rFonts w:hint="eastAsia" w:ascii="黑体" w:hAnsi="黑体" w:eastAsia="黑体"/>
          <w:bCs/>
          <w:color w:val="000000" w:themeColor="text1"/>
          <w:sz w:val="28"/>
          <w:szCs w:val="28"/>
        </w:rPr>
        <w:t>法定代表人资格证明书</w:t>
      </w:r>
    </w:p>
    <w:p>
      <w:pPr>
        <w:spacing w:line="580" w:lineRule="exact"/>
        <w:jc w:val="center"/>
        <w:rPr>
          <w:rFonts w:ascii="黑体" w:hAnsi="黑体" w:eastAsia="黑体"/>
          <w:bCs/>
          <w:color w:val="000000" w:themeColor="text1"/>
          <w:sz w:val="28"/>
          <w:szCs w:val="28"/>
        </w:rPr>
      </w:pPr>
    </w:p>
    <w:p>
      <w:pPr>
        <w:spacing w:line="560" w:lineRule="exact"/>
        <w:rPr>
          <w:rFonts w:ascii="宋体" w:hAnsi="宋体"/>
          <w:sz w:val="24"/>
        </w:rPr>
      </w:pPr>
      <w:r>
        <w:rPr>
          <w:rFonts w:hint="eastAsia" w:ascii="宋体" w:hAnsi="宋体"/>
          <w:sz w:val="24"/>
        </w:rPr>
        <w:t>姓名</w:t>
      </w:r>
      <w:r>
        <w:rPr>
          <w:rFonts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性别</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年龄</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职务</w:t>
      </w:r>
      <w:r>
        <w:rPr>
          <w:rFonts w:ascii="宋体" w:hAnsi="宋体"/>
          <w:sz w:val="24"/>
        </w:rPr>
        <w:t>:</w:t>
      </w:r>
    </w:p>
    <w:p>
      <w:pPr>
        <w:spacing w:line="360" w:lineRule="auto"/>
        <w:rPr>
          <w:rFonts w:asciiTheme="minorEastAsia" w:hAnsiTheme="minorEastAsia"/>
          <w:sz w:val="24"/>
        </w:rPr>
      </w:pPr>
      <w:r>
        <w:rPr>
          <w:rFonts w:hint="eastAsia" w:asciiTheme="minorEastAsia" w:hAnsiTheme="minorEastAsia"/>
          <w:sz w:val="24"/>
        </w:rPr>
        <w:t>系</w:t>
      </w:r>
      <w:r>
        <w:rPr>
          <w:rFonts w:asciiTheme="minorEastAsia" w:hAnsiTheme="minorEastAsia"/>
          <w:sz w:val="24"/>
          <w:u w:val="single"/>
        </w:rPr>
        <w:t xml:space="preserve">            </w:t>
      </w:r>
      <w:r>
        <w:rPr>
          <w:rFonts w:hint="eastAsia" w:asciiTheme="minorEastAsia" w:hAnsiTheme="minorEastAsia"/>
          <w:sz w:val="24"/>
        </w:rPr>
        <w:t>（供应商名称）的法定代表人。为实施</w:t>
      </w:r>
      <w:r>
        <w:rPr>
          <w:rFonts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rPr>
        <w:t>项目（</w:t>
      </w:r>
      <w:r>
        <w:rPr>
          <w:rFonts w:hint="eastAsia" w:asciiTheme="minorEastAsia" w:hAnsiTheme="minorEastAsia"/>
          <w:bCs/>
          <w:color w:val="000000" w:themeColor="text1"/>
          <w:sz w:val="24"/>
          <w:szCs w:val="24"/>
        </w:rPr>
        <w:t>项目编号：</w:t>
      </w:r>
      <w:r>
        <w:rPr>
          <w:rFonts w:hint="eastAsia" w:asciiTheme="minorEastAsia" w:hAnsiTheme="minorEastAsia"/>
          <w:bCs/>
          <w:color w:val="000000" w:themeColor="text1"/>
          <w:sz w:val="24"/>
          <w:szCs w:val="24"/>
          <w:u w:val="single"/>
        </w:rPr>
        <w:t xml:space="preserve">                     </w:t>
      </w:r>
      <w:r>
        <w:rPr>
          <w:rFonts w:hint="eastAsia" w:asciiTheme="minorEastAsia" w:hAnsiTheme="minorEastAsia"/>
          <w:sz w:val="24"/>
        </w:rPr>
        <w:t>）的工作，签署上述项目的响应文件、进行合同谈判、签署合同和处理与之有关的一切事务。</w:t>
      </w:r>
    </w:p>
    <w:p>
      <w:pPr>
        <w:spacing w:line="360" w:lineRule="auto"/>
        <w:rPr>
          <w:rFonts w:asciiTheme="minorEastAsia" w:hAnsiTheme="minorEastAsia"/>
          <w:sz w:val="24"/>
        </w:rPr>
      </w:pPr>
      <w:r>
        <w:rPr>
          <w:rFonts w:hint="eastAsia" w:asciiTheme="minorEastAsia" w:hAnsiTheme="minorEastAsia"/>
          <w:sz w:val="24"/>
        </w:rPr>
        <w:t>特此证明。</w:t>
      </w:r>
    </w:p>
    <w:p>
      <w:pPr>
        <w:spacing w:line="560" w:lineRule="exact"/>
        <w:rPr>
          <w:rFonts w:ascii="宋体" w:hAnsi="宋体"/>
          <w:sz w:val="24"/>
        </w:rPr>
      </w:pPr>
    </w:p>
    <w:p>
      <w:pPr>
        <w:spacing w:line="560" w:lineRule="exact"/>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供应商：（公章）</w:t>
      </w:r>
    </w:p>
    <w:p>
      <w:pPr>
        <w:spacing w:line="360" w:lineRule="auto"/>
        <w:rPr>
          <w:rFonts w:ascii="宋体" w:hAnsi="宋体"/>
          <w:sz w:val="24"/>
        </w:rPr>
      </w:pPr>
      <w:r>
        <w:rPr>
          <w:rFonts w:ascii="宋体" w:hAnsi="宋体"/>
          <w:sz w:val="24"/>
        </w:rPr>
        <w:t xml:space="preserve">                       </w:t>
      </w:r>
      <w:r>
        <w:rPr>
          <w:rFonts w:hint="eastAsia" w:ascii="宋体" w:hAnsi="宋体"/>
          <w:sz w:val="24"/>
        </w:rPr>
        <w:t>法定代表人签字或盖章：</w:t>
      </w:r>
    </w:p>
    <w:p>
      <w:pPr>
        <w:spacing w:line="360" w:lineRule="auto"/>
        <w:ind w:firstLine="4320" w:firstLineChars="1800"/>
        <w:rPr>
          <w:rFonts w:ascii="宋体" w:hAnsi="宋体"/>
          <w:sz w:val="24"/>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napToGrid w:val="0"/>
        <w:spacing w:line="560" w:lineRule="exact"/>
        <w:rPr>
          <w:rFonts w:ascii="宋体" w:hAnsi="宋体"/>
          <w:sz w:val="24"/>
        </w:rPr>
      </w:pPr>
    </w:p>
    <w:p>
      <w:pPr>
        <w:snapToGrid w:val="0"/>
        <w:spacing w:line="560" w:lineRule="exact"/>
        <w:rPr>
          <w:rFonts w:ascii="宋体" w:hAnsi="宋体"/>
          <w:b/>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sz w:val="24"/>
        </w:rPr>
      </w:pPr>
      <w:r>
        <w:rPr>
          <w:rFonts w:hint="eastAsia" w:ascii="宋体" w:hAnsi="宋体"/>
          <w:sz w:val="24"/>
        </w:rPr>
        <w:t>法定代表人身份证</w:t>
      </w:r>
    </w:p>
    <w:p>
      <w:pPr>
        <w:autoSpaceDE w:val="0"/>
        <w:autoSpaceDN w:val="0"/>
        <w:adjustRightInd w:val="0"/>
        <w:rPr>
          <w:rFonts w:ascii="宋体" w:hAnsi="宋体"/>
          <w:sz w:val="24"/>
        </w:rPr>
      </w:pPr>
      <w:r>
        <w:rPr>
          <w:rFonts w:hint="eastAsia" w:ascii="宋体" w:hAnsi="宋体"/>
          <w:sz w:val="24"/>
        </w:rPr>
        <w:t>（双面复印件）粘贴处</w:t>
      </w: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widowControl/>
        <w:jc w:val="left"/>
        <w:rPr>
          <w:rFonts w:ascii="黑体" w:hAnsi="黑体" w:eastAsia="黑体"/>
          <w:bCs/>
          <w:color w:val="000000" w:themeColor="text1"/>
          <w:sz w:val="28"/>
          <w:szCs w:val="28"/>
        </w:rPr>
      </w:pPr>
      <w:r>
        <w:rPr>
          <w:rFonts w:ascii="黑体" w:hAnsi="黑体" w:eastAsia="黑体"/>
          <w:bCs/>
          <w:color w:val="000000" w:themeColor="text1"/>
          <w:sz w:val="28"/>
          <w:szCs w:val="28"/>
        </w:rPr>
        <w:br w:type="page"/>
      </w:r>
    </w:p>
    <w:p>
      <w:pPr>
        <w:spacing w:line="580" w:lineRule="exact"/>
        <w:jc w:val="center"/>
        <w:rPr>
          <w:rFonts w:ascii="黑体" w:hAnsi="黑体" w:eastAsia="黑体"/>
          <w:bCs/>
          <w:color w:val="000000" w:themeColor="text1"/>
          <w:sz w:val="28"/>
          <w:szCs w:val="28"/>
        </w:rPr>
      </w:pPr>
      <w:bookmarkStart w:id="63" w:name="_Toc55147056"/>
      <w:r>
        <w:rPr>
          <w:rFonts w:hint="eastAsia" w:ascii="黑体" w:hAnsi="黑体" w:eastAsia="黑体"/>
          <w:bCs/>
          <w:color w:val="000000" w:themeColor="text1"/>
          <w:sz w:val="28"/>
          <w:szCs w:val="28"/>
        </w:rPr>
        <w:t>法定代表人授权委托书</w:t>
      </w:r>
    </w:p>
    <w:p>
      <w:pPr>
        <w:spacing w:line="360" w:lineRule="auto"/>
        <w:jc w:val="center"/>
        <w:rPr>
          <w:rFonts w:ascii="楷体_GB2312" w:eastAsia="楷体_GB2312"/>
          <w:bCs/>
          <w:color w:val="000000" w:themeColor="text1"/>
          <w:sz w:val="36"/>
        </w:rPr>
      </w:pPr>
    </w:p>
    <w:p>
      <w:pPr>
        <w:spacing w:line="360" w:lineRule="auto"/>
        <w:ind w:firstLine="480" w:firstLineChars="200"/>
        <w:rPr>
          <w:rFonts w:ascii="宋体" w:hAnsi="宋体"/>
          <w:sz w:val="24"/>
        </w:rPr>
      </w:pPr>
      <w:r>
        <w:rPr>
          <w:rFonts w:hint="eastAsia" w:ascii="宋体" w:hAnsi="宋体"/>
          <w:sz w:val="24"/>
        </w:rPr>
        <w:t>本授权委托书声明：</w:t>
      </w:r>
    </w:p>
    <w:p>
      <w:pPr>
        <w:spacing w:line="360" w:lineRule="auto"/>
        <w:ind w:firstLine="480" w:firstLineChars="200"/>
        <w:rPr>
          <w:rFonts w:ascii="宋体" w:hAnsi="宋体"/>
          <w:sz w:val="24"/>
        </w:rPr>
      </w:pPr>
      <w:r>
        <w:rPr>
          <w:rFonts w:ascii="宋体" w:hAnsi="宋体"/>
          <w:sz w:val="24"/>
          <w:u w:val="single"/>
        </w:rPr>
        <w:t>______________________</w:t>
      </w:r>
      <w:r>
        <w:rPr>
          <w:rFonts w:hint="eastAsia" w:ascii="宋体" w:hAnsi="宋体"/>
          <w:sz w:val="24"/>
        </w:rPr>
        <w:t>（供应商名称）的</w:t>
      </w:r>
      <w:r>
        <w:rPr>
          <w:rFonts w:ascii="宋体" w:hAnsi="宋体"/>
          <w:sz w:val="24"/>
          <w:u w:val="single"/>
        </w:rPr>
        <w:t>____________</w:t>
      </w:r>
      <w:r>
        <w:rPr>
          <w:rFonts w:hint="eastAsia" w:ascii="宋体" w:hAnsi="宋体"/>
          <w:sz w:val="24"/>
        </w:rPr>
        <w:t>（法定代表人姓名、职务）代表供应商授权</w:t>
      </w:r>
      <w:r>
        <w:rPr>
          <w:rFonts w:ascii="宋体" w:hAnsi="宋体"/>
          <w:sz w:val="24"/>
          <w:u w:val="single"/>
        </w:rPr>
        <w:t>_____________</w:t>
      </w:r>
      <w:r>
        <w:rPr>
          <w:rFonts w:hint="eastAsia" w:ascii="宋体" w:hAnsi="宋体"/>
          <w:sz w:val="24"/>
        </w:rPr>
        <w:t>（被授权代表姓名）为</w:t>
      </w:r>
      <w:r>
        <w:rPr>
          <w:rFonts w:hint="eastAsia" w:ascii="宋体" w:hAnsi="宋体"/>
          <w:sz w:val="24"/>
          <w:u w:val="single"/>
        </w:rPr>
        <w:t xml:space="preserve">                  项目</w:t>
      </w:r>
      <w:r>
        <w:rPr>
          <w:rFonts w:hint="eastAsia" w:ascii="宋体" w:hAnsi="宋体"/>
          <w:sz w:val="24"/>
        </w:rPr>
        <w:t>（</w:t>
      </w:r>
      <w:r>
        <w:rPr>
          <w:rFonts w:hint="eastAsia" w:ascii="黑体" w:eastAsia="黑体"/>
          <w:bCs/>
          <w:color w:val="000000" w:themeColor="text1"/>
          <w:sz w:val="24"/>
          <w:szCs w:val="24"/>
        </w:rPr>
        <w:t>项目编号：</w:t>
      </w:r>
      <w:r>
        <w:rPr>
          <w:rFonts w:hint="eastAsia" w:ascii="黑体" w:eastAsia="黑体"/>
          <w:bCs/>
          <w:color w:val="000000" w:themeColor="text1"/>
          <w:sz w:val="24"/>
          <w:szCs w:val="24"/>
          <w:u w:val="single"/>
        </w:rPr>
        <w:t xml:space="preserve">               </w:t>
      </w:r>
      <w:r>
        <w:rPr>
          <w:rFonts w:hint="eastAsia" w:ascii="宋体" w:hAnsi="宋体"/>
          <w:sz w:val="24"/>
        </w:rPr>
        <w:t>）报价的合法代理人，全权负责参加本次政府采购项目的报价、</w:t>
      </w:r>
      <w:r>
        <w:rPr>
          <w:rFonts w:hint="eastAsia" w:ascii="宋体" w:hAnsi="宋体"/>
          <w:bCs/>
          <w:color w:val="000000" w:themeColor="text1"/>
          <w:sz w:val="24"/>
          <w:szCs w:val="24"/>
        </w:rPr>
        <w:t>参与协商、签约</w:t>
      </w:r>
      <w:r>
        <w:rPr>
          <w:rFonts w:hint="eastAsia" w:ascii="宋体" w:hAnsi="宋体"/>
          <w:sz w:val="24"/>
        </w:rPr>
        <w:t>以及与之相关的各项工作。本供应商对代理人的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我公司（单位）对被授权代表的签名负全部责任。</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bCs/>
          <w:color w:val="000000" w:themeColor="text1"/>
          <w:sz w:val="24"/>
          <w:szCs w:val="24"/>
        </w:rPr>
      </w:pP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被授权代表情况：</w:t>
      </w:r>
    </w:p>
    <w:p>
      <w:pPr>
        <w:spacing w:line="360" w:lineRule="auto"/>
        <w:ind w:firstLine="676" w:firstLineChars="282"/>
        <w:rPr>
          <w:rFonts w:ascii="宋体"/>
          <w:bCs/>
          <w:color w:val="000000" w:themeColor="text1"/>
          <w:sz w:val="24"/>
          <w:szCs w:val="24"/>
        </w:rPr>
      </w:pPr>
      <w:r>
        <w:rPr>
          <w:rFonts w:hint="eastAsia" w:ascii="宋体" w:hAnsi="宋体"/>
          <w:bCs/>
          <w:color w:val="000000" w:themeColor="text1"/>
          <w:sz w:val="24"/>
          <w:szCs w:val="24"/>
        </w:rPr>
        <w:t>姓名：</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性别：</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电话：</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职务：</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单位名称（盖章）：</w:t>
      </w:r>
    </w:p>
    <w:p>
      <w:pPr>
        <w:spacing w:line="360" w:lineRule="auto"/>
        <w:ind w:firstLine="480" w:firstLineChars="200"/>
        <w:rPr>
          <w:rFonts w:ascii="宋体" w:hAnsi="宋体"/>
          <w:bCs/>
          <w:color w:val="000000" w:themeColor="text1"/>
          <w:sz w:val="24"/>
          <w:szCs w:val="24"/>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360" w:lineRule="auto"/>
        <w:ind w:firstLine="480" w:firstLineChars="200"/>
        <w:rPr>
          <w:rFonts w:ascii="宋体" w:hAnsi="宋体"/>
          <w:bCs/>
          <w:color w:val="000000" w:themeColor="text1"/>
          <w:sz w:val="24"/>
          <w:szCs w:val="24"/>
        </w:rPr>
      </w:pP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法定代表人（签字或盖章）：</w:t>
      </w:r>
      <w:r>
        <w:rPr>
          <w:rFonts w:hint="eastAsia" w:ascii="宋体" w:hAnsi="宋体"/>
          <w:bCs/>
          <w:sz w:val="24"/>
          <w:u w:val="single"/>
        </w:rPr>
        <w:t>_____________</w:t>
      </w:r>
    </w:p>
    <w:p>
      <w:pPr>
        <w:spacing w:line="360" w:lineRule="auto"/>
        <w:ind w:firstLine="480" w:firstLineChars="200"/>
        <w:rPr>
          <w:rFonts w:ascii="宋体"/>
          <w:bCs/>
          <w:color w:val="000000" w:themeColor="text1"/>
          <w:sz w:val="24"/>
          <w:szCs w:val="24"/>
        </w:rPr>
      </w:pPr>
      <w:r>
        <w:rPr>
          <w:rFonts w:hint="eastAsia" w:ascii="宋体" w:hAnsi="宋体"/>
          <w:bCs/>
          <w:sz w:val="24"/>
        </w:rPr>
        <w:t>代理人（签字或盖章）：</w:t>
      </w:r>
      <w:r>
        <w:rPr>
          <w:rFonts w:hint="eastAsia" w:ascii="宋体" w:hAnsi="宋体"/>
          <w:bCs/>
          <w:sz w:val="24"/>
          <w:u w:val="single"/>
        </w:rPr>
        <w:t>_____________</w:t>
      </w:r>
    </w:p>
    <w:p>
      <w:pPr>
        <w:spacing w:line="360" w:lineRule="auto"/>
        <w:ind w:firstLine="480" w:firstLineChars="200"/>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法定代表人身份证</w:t>
      </w:r>
    </w:p>
    <w:p>
      <w:pPr>
        <w:autoSpaceDE w:val="0"/>
        <w:autoSpaceDN w:val="0"/>
        <w:adjustRightInd w:val="0"/>
        <w:spacing w:line="360" w:lineRule="auto"/>
        <w:ind w:firstLine="240" w:firstLineChars="100"/>
        <w:rPr>
          <w:rFonts w:ascii="宋体" w:hAnsi="宋体"/>
          <w:sz w:val="24"/>
        </w:rPr>
      </w:pPr>
      <w:r>
        <w:rPr>
          <w:rFonts w:hint="eastAsia" w:ascii="宋体" w:hAnsi="宋体"/>
          <w:sz w:val="24"/>
        </w:rPr>
        <w:t>（双面复印件）粘贴处</w:t>
      </w:r>
    </w:p>
    <w:p>
      <w:pPr>
        <w:autoSpaceDE w:val="0"/>
        <w:autoSpaceDN w:val="0"/>
        <w:adjustRightInd w:val="0"/>
        <w:spacing w:line="360" w:lineRule="auto"/>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代理人身份证：</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（双面复印件）粘贴处</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备注：</w:t>
      </w:r>
    </w:p>
    <w:p>
      <w:pPr>
        <w:snapToGrid w:val="0"/>
        <w:spacing w:line="360" w:lineRule="auto"/>
        <w:ind w:firstLine="480" w:firstLineChars="200"/>
        <w:rPr>
          <w:rFonts w:ascii="宋体" w:hAnsi="宋体" w:cs="宋体"/>
          <w:sz w:val="24"/>
        </w:rPr>
      </w:pPr>
      <w:r>
        <w:rPr>
          <w:rFonts w:hint="eastAsia" w:ascii="宋体" w:hAnsi="宋体" w:cs="宋体"/>
          <w:sz w:val="24"/>
        </w:rPr>
        <w:t>1.法定代表人参加报价时，需携带法定代表人资格证明书和本人身份证原件。</w:t>
      </w:r>
    </w:p>
    <w:p>
      <w:pPr>
        <w:snapToGrid w:val="0"/>
        <w:spacing w:line="360" w:lineRule="auto"/>
        <w:ind w:firstLine="480" w:firstLineChars="200"/>
        <w:rPr>
          <w:rFonts w:ascii="宋体" w:hAnsi="宋体" w:cs="宋体"/>
          <w:sz w:val="24"/>
        </w:rPr>
      </w:pPr>
      <w:r>
        <w:rPr>
          <w:rFonts w:hint="eastAsia" w:ascii="宋体" w:hAnsi="宋体" w:cs="宋体"/>
          <w:sz w:val="24"/>
        </w:rPr>
        <w:t>2.代理人参加报价时，需携带法定代表人授权委托书和本人身份证原件。</w:t>
      </w:r>
    </w:p>
    <w:p>
      <w:pPr>
        <w:snapToGrid w:val="0"/>
        <w:spacing w:line="360" w:lineRule="auto"/>
        <w:ind w:firstLine="480" w:firstLineChars="200"/>
        <w:rPr>
          <w:rFonts w:ascii="宋体" w:hAnsi="宋体" w:cs="宋体"/>
          <w:sz w:val="24"/>
        </w:rPr>
      </w:pPr>
    </w:p>
    <w:bookmarkEnd w:id="63"/>
    <w:p>
      <w:pPr>
        <w:widowControl/>
        <w:jc w:val="left"/>
        <w:rPr>
          <w:rFonts w:ascii="黑体" w:hAnsi="宋体" w:eastAsia="黑体"/>
          <w:bCs/>
          <w:color w:val="000000" w:themeColor="text1"/>
          <w:sz w:val="24"/>
          <w:szCs w:val="24"/>
        </w:rPr>
      </w:pPr>
      <w:bookmarkStart w:id="64" w:name="_Toc59000743"/>
      <w:r>
        <w:rPr>
          <w:rFonts w:hint="eastAsia" w:ascii="黑体" w:hAnsi="宋体" w:eastAsia="黑体"/>
          <w:bCs/>
          <w:color w:val="000000" w:themeColor="text1"/>
          <w:sz w:val="24"/>
          <w:szCs w:val="24"/>
        </w:rPr>
        <w:t>（五）具备履行合同所必需的设备和专业技术能力的书面声明（格式）</w:t>
      </w:r>
    </w:p>
    <w:p>
      <w:pPr>
        <w:widowControl/>
        <w:jc w:val="left"/>
        <w:rPr>
          <w:rFonts w:ascii="黑体" w:hAnsi="宋体" w:eastAsia="黑体"/>
          <w:bCs/>
          <w:sz w:val="24"/>
          <w:szCs w:val="24"/>
        </w:rPr>
      </w:pPr>
    </w:p>
    <w:p>
      <w:pPr>
        <w:widowControl/>
        <w:jc w:val="left"/>
        <w:rPr>
          <w:rFonts w:ascii="黑体" w:hAnsi="宋体" w:eastAsia="黑体"/>
          <w:bCs/>
          <w:sz w:val="24"/>
          <w:szCs w:val="24"/>
        </w:rPr>
      </w:pPr>
    </w:p>
    <w:p>
      <w:pPr>
        <w:tabs>
          <w:tab w:val="left" w:pos="360"/>
        </w:tabs>
        <w:ind w:firstLine="561"/>
        <w:jc w:val="center"/>
        <w:rPr>
          <w:rFonts w:ascii="黑体" w:hAnsi="黑体" w:eastAsia="黑体" w:cs="Times New Roman"/>
          <w:sz w:val="28"/>
          <w:szCs w:val="28"/>
        </w:rPr>
      </w:pPr>
      <w:r>
        <w:rPr>
          <w:rFonts w:hint="eastAsia" w:ascii="黑体" w:hAnsi="黑体" w:eastAsia="黑体" w:cs="Times New Roman"/>
          <w:sz w:val="28"/>
          <w:szCs w:val="28"/>
        </w:rPr>
        <w:t>具备履行合同所必需的设备和专业技术能力的书面声明</w:t>
      </w:r>
      <w:bookmarkEnd w:id="64"/>
    </w:p>
    <w:p/>
    <w:p>
      <w:pPr>
        <w:spacing w:line="360" w:lineRule="auto"/>
        <w:ind w:firstLine="480" w:firstLineChars="200"/>
        <w:rPr>
          <w:rFonts w:ascii="宋体" w:hAnsi="宋体"/>
          <w:bCs/>
          <w:sz w:val="24"/>
        </w:rPr>
      </w:pPr>
      <w:r>
        <w:rPr>
          <w:rFonts w:hint="eastAsia" w:ascii="宋体" w:hAnsi="宋体"/>
          <w:bCs/>
          <w:sz w:val="24"/>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bCs/>
          <w:sz w:val="24"/>
        </w:rPr>
      </w:pPr>
      <w:r>
        <w:rPr>
          <w:rFonts w:hint="eastAsia" w:ascii="宋体" w:hAnsi="宋体"/>
          <w:bCs/>
          <w:sz w:val="24"/>
        </w:rPr>
        <w:t xml:space="preserve">主要设备有：            </w:t>
      </w:r>
    </w:p>
    <w:p>
      <w:pPr>
        <w:spacing w:line="360" w:lineRule="auto"/>
        <w:ind w:firstLine="480" w:firstLineChars="200"/>
        <w:rPr>
          <w:rFonts w:ascii="宋体" w:hAnsi="宋体"/>
          <w:bCs/>
          <w:sz w:val="24"/>
        </w:rPr>
      </w:pPr>
      <w:r>
        <w:rPr>
          <w:rFonts w:hint="eastAsia" w:ascii="宋体" w:hAnsi="宋体"/>
          <w:bCs/>
          <w:sz w:val="24"/>
        </w:rPr>
        <w:t xml:space="preserve">主要专业技术能力有：  </w:t>
      </w:r>
    </w:p>
    <w:p>
      <w:pPr>
        <w:spacing w:line="460" w:lineRule="exact"/>
        <w:rPr>
          <w:rFonts w:ascii="宋体" w:hAnsi="宋体"/>
          <w:bCs/>
          <w:sz w:val="24"/>
        </w:rPr>
      </w:pPr>
    </w:p>
    <w:p>
      <w:pPr>
        <w:spacing w:line="460" w:lineRule="exact"/>
        <w:rPr>
          <w:rFonts w:ascii="宋体" w:hAnsi="宋体"/>
          <w:bCs/>
          <w:sz w:val="24"/>
        </w:rPr>
      </w:pPr>
    </w:p>
    <w:p>
      <w:pPr>
        <w:spacing w:line="460" w:lineRule="exact"/>
        <w:ind w:firstLine="3120" w:firstLineChars="1300"/>
        <w:jc w:val="left"/>
        <w:rPr>
          <w:rFonts w:ascii="宋体" w:hAnsi="宋体"/>
          <w:bCs/>
          <w:sz w:val="24"/>
        </w:rPr>
      </w:pPr>
      <w:r>
        <w:rPr>
          <w:rFonts w:hint="eastAsia" w:ascii="宋体" w:hAnsi="宋体"/>
          <w:bCs/>
          <w:sz w:val="24"/>
        </w:rPr>
        <w:t>单位名称（公章）：</w:t>
      </w:r>
    </w:p>
    <w:p>
      <w:pPr>
        <w:spacing w:line="460" w:lineRule="exact"/>
        <w:ind w:firstLine="3120" w:firstLineChars="1300"/>
        <w:jc w:val="left"/>
        <w:rPr>
          <w:rFonts w:ascii="宋体" w:hAnsi="宋体"/>
          <w:bCs/>
          <w:sz w:val="24"/>
        </w:rPr>
      </w:pPr>
      <w:r>
        <w:rPr>
          <w:rFonts w:hint="eastAsia" w:ascii="宋体" w:hAnsi="宋体"/>
          <w:bCs/>
          <w:sz w:val="24"/>
        </w:rPr>
        <w:t>法定代表人或代理人（签字或盖章）：</w:t>
      </w:r>
      <w:r>
        <w:rPr>
          <w:rFonts w:hint="eastAsia" w:ascii="宋体" w:hAnsi="宋体"/>
          <w:bCs/>
          <w:sz w:val="24"/>
          <w:u w:val="single"/>
        </w:rPr>
        <w:t>_____________</w:t>
      </w:r>
    </w:p>
    <w:p>
      <w:pPr>
        <w:spacing w:line="460" w:lineRule="exact"/>
        <w:ind w:firstLine="3120" w:firstLineChars="1300"/>
        <w:jc w:val="left"/>
        <w:rPr>
          <w:rFonts w:ascii="宋体" w:hAnsi="宋体"/>
          <w:bCs/>
          <w:sz w:val="24"/>
        </w:rPr>
      </w:pPr>
      <w:r>
        <w:rPr>
          <w:rFonts w:hint="eastAsia" w:ascii="宋体" w:hAnsi="宋体"/>
          <w:bCs/>
          <w:sz w:val="24"/>
        </w:rPr>
        <w:t>日期：</w:t>
      </w:r>
      <w:r>
        <w:rPr>
          <w:rFonts w:hint="eastAsia" w:ascii="宋体" w:hAnsi="宋体"/>
          <w:bCs/>
          <w:sz w:val="24"/>
          <w:u w:val="single"/>
        </w:rPr>
        <w:t>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widowControl/>
        <w:jc w:val="left"/>
        <w:rPr>
          <w:rFonts w:ascii="黑体" w:hAnsi="宋体" w:eastAsia="黑体"/>
          <w:bCs/>
          <w:color w:val="000000" w:themeColor="text1"/>
          <w:sz w:val="24"/>
          <w:szCs w:val="24"/>
        </w:rPr>
      </w:pPr>
    </w:p>
    <w:p>
      <w:pPr>
        <w:spacing w:line="580" w:lineRule="exact"/>
        <w:ind w:firstLine="480" w:firstLineChars="200"/>
        <w:jc w:val="left"/>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widowControl/>
        <w:jc w:val="left"/>
        <w:rPr>
          <w:rFonts w:ascii="宋体" w:hAnsi="宋体"/>
          <w:bCs/>
          <w:color w:val="000000" w:themeColor="text1"/>
          <w:sz w:val="24"/>
          <w:szCs w:val="24"/>
        </w:rPr>
      </w:pPr>
      <w:r>
        <w:rPr>
          <w:rFonts w:ascii="宋体" w:hAnsi="宋体"/>
          <w:bCs/>
          <w:color w:val="000000" w:themeColor="text1"/>
          <w:sz w:val="24"/>
          <w:szCs w:val="24"/>
        </w:rPr>
        <w:br w:type="page"/>
      </w:r>
    </w:p>
    <w:p>
      <w:pPr>
        <w:widowControl/>
        <w:jc w:val="left"/>
        <w:rPr>
          <w:rFonts w:ascii="宋体" w:hAnsi="宋体"/>
          <w:bCs/>
          <w:color w:val="000000" w:themeColor="text1"/>
          <w:sz w:val="24"/>
          <w:szCs w:val="24"/>
        </w:rPr>
      </w:pPr>
      <w:r>
        <w:rPr>
          <w:rFonts w:hint="eastAsia" w:ascii="黑体" w:hAnsi="宋体" w:eastAsia="黑体"/>
          <w:bCs/>
          <w:color w:val="000000" w:themeColor="text1"/>
          <w:sz w:val="24"/>
          <w:szCs w:val="24"/>
        </w:rPr>
        <w:t>（六）参加政府采购活动前 3 年内在经营活动中没有重大违法记录的书面声明</w:t>
      </w:r>
      <w:r>
        <w:rPr>
          <w:rFonts w:hint="eastAsia" w:ascii="黑体" w:hAnsi="黑体" w:eastAsia="黑体"/>
          <w:sz w:val="24"/>
          <w:szCs w:val="24"/>
        </w:rPr>
        <w:t>（格式）</w:t>
      </w:r>
    </w:p>
    <w:p>
      <w:pPr>
        <w:spacing w:line="580" w:lineRule="exact"/>
        <w:rPr>
          <w:rFonts w:ascii="黑体" w:hAnsi="宋体" w:eastAsia="黑体"/>
          <w:bCs/>
          <w:color w:val="000000" w:themeColor="text1"/>
          <w:sz w:val="24"/>
          <w:szCs w:val="24"/>
        </w:rPr>
      </w:pPr>
    </w:p>
    <w:p>
      <w:pPr>
        <w:tabs>
          <w:tab w:val="left" w:pos="360"/>
        </w:tabs>
        <w:ind w:firstLine="561"/>
        <w:jc w:val="center"/>
        <w:rPr>
          <w:rFonts w:ascii="黑体" w:hAnsi="黑体" w:eastAsia="黑体" w:cs="Times New Roman"/>
          <w:sz w:val="28"/>
          <w:szCs w:val="28"/>
        </w:rPr>
      </w:pPr>
      <w:bookmarkStart w:id="65" w:name="_Toc59000745"/>
      <w:r>
        <w:rPr>
          <w:rFonts w:hint="eastAsia" w:ascii="黑体" w:hAnsi="黑体" w:eastAsia="黑体" w:cs="Times New Roman"/>
          <w:sz w:val="28"/>
          <w:szCs w:val="28"/>
        </w:rPr>
        <w:t>参加政府采购活动前 3 年内在经营活动中没有重大违法记录的书面声明</w:t>
      </w:r>
      <w:bookmarkEnd w:id="65"/>
    </w:p>
    <w:p>
      <w:pPr>
        <w:tabs>
          <w:tab w:val="left" w:pos="360"/>
        </w:tabs>
        <w:ind w:firstLine="561"/>
        <w:jc w:val="center"/>
        <w:rPr>
          <w:rFonts w:ascii="黑体" w:hAnsi="黑体" w:eastAsia="黑体" w:cs="Times New Roman"/>
          <w:sz w:val="28"/>
          <w:szCs w:val="28"/>
        </w:rPr>
      </w:pPr>
    </w:p>
    <w:p>
      <w:pPr>
        <w:spacing w:line="560" w:lineRule="exact"/>
        <w:rPr>
          <w:rFonts w:ascii="宋体" w:hAnsi="宋体"/>
          <w:b/>
          <w:bCs/>
          <w:sz w:val="36"/>
          <w:szCs w:val="36"/>
        </w:rPr>
      </w:pPr>
      <w:r>
        <w:rPr>
          <w:rFonts w:hint="eastAsia" w:ascii="宋体" w:hAnsi="宋体"/>
          <w:b/>
          <w:bCs/>
          <w:sz w:val="32"/>
          <w:szCs w:val="32"/>
        </w:rPr>
        <w:t xml:space="preserve">                       </w:t>
      </w:r>
      <w:r>
        <w:rPr>
          <w:rFonts w:hint="eastAsia" w:ascii="宋体" w:hAnsi="宋体"/>
          <w:b/>
          <w:bCs/>
          <w:sz w:val="36"/>
          <w:szCs w:val="36"/>
        </w:rPr>
        <w:t xml:space="preserve">    声  明 </w:t>
      </w:r>
    </w:p>
    <w:p>
      <w:pPr>
        <w:spacing w:line="560" w:lineRule="exact"/>
        <w:rPr>
          <w:rFonts w:ascii="宋体" w:hAnsi="宋体"/>
          <w:b/>
          <w:bCs/>
          <w:sz w:val="32"/>
          <w:szCs w:val="32"/>
        </w:rPr>
      </w:pPr>
    </w:p>
    <w:p>
      <w:pPr>
        <w:snapToGrid w:val="0"/>
        <w:spacing w:line="360" w:lineRule="auto"/>
        <w:ind w:firstLine="480" w:firstLineChars="200"/>
        <w:rPr>
          <w:rFonts w:ascii="宋体" w:hAnsi="宋体"/>
          <w:sz w:val="24"/>
        </w:rPr>
      </w:pPr>
      <w:r>
        <w:rPr>
          <w:rFonts w:hint="eastAsia" w:ascii="宋体" w:hAnsi="宋体"/>
          <w:sz w:val="24"/>
        </w:rPr>
        <w:t>我</w:t>
      </w:r>
      <w:r>
        <w:rPr>
          <w:rFonts w:hint="eastAsia"/>
          <w:sz w:val="24"/>
        </w:rPr>
        <w:t>单位</w:t>
      </w:r>
      <w:r>
        <w:rPr>
          <w:rFonts w:hint="eastAsia" w:ascii="宋体" w:hAnsi="宋体"/>
          <w:sz w:val="24"/>
        </w:rPr>
        <w:t>郑重声明：参加本次政府采购活动前 3 年内，我</w:t>
      </w:r>
      <w:r>
        <w:rPr>
          <w:rFonts w:hint="eastAsia"/>
          <w:sz w:val="24"/>
        </w:rPr>
        <w:t>单位</w:t>
      </w:r>
      <w:r>
        <w:rPr>
          <w:rFonts w:hint="eastAsia" w:ascii="宋体" w:hAnsi="宋体"/>
          <w:sz w:val="24"/>
        </w:rPr>
        <w:t>在经营活动中没有因违法经营受到刑事处罚或者责令停产停业、吊销许可证或者执照、较大数额罚款等行政处罚。</w:t>
      </w:r>
    </w:p>
    <w:p>
      <w:pPr>
        <w:snapToGrid w:val="0"/>
        <w:spacing w:line="460" w:lineRule="exact"/>
        <w:rPr>
          <w:rFonts w:ascii="宋体" w:hAnsi="宋体"/>
          <w:sz w:val="24"/>
        </w:rPr>
      </w:pPr>
      <w:r>
        <w:rPr>
          <w:rFonts w:hint="eastAsia" w:ascii="宋体" w:hAnsi="宋体"/>
          <w:sz w:val="24"/>
        </w:rPr>
        <w:t xml:space="preserve">    </w:t>
      </w:r>
    </w:p>
    <w:p>
      <w:pPr>
        <w:snapToGrid w:val="0"/>
        <w:spacing w:line="460" w:lineRule="exact"/>
        <w:ind w:firstLine="3120" w:firstLineChars="1300"/>
        <w:rPr>
          <w:rFonts w:ascii="宋体" w:hAnsi="宋体"/>
          <w:sz w:val="24"/>
        </w:rPr>
      </w:pPr>
      <w:r>
        <w:rPr>
          <w:rFonts w:hint="eastAsia" w:ascii="宋体" w:hAnsi="宋体"/>
          <w:sz w:val="24"/>
        </w:rPr>
        <w:t>单位名称（公章）：</w:t>
      </w:r>
    </w:p>
    <w:p>
      <w:pPr>
        <w:snapToGrid w:val="0"/>
        <w:spacing w:line="460" w:lineRule="exact"/>
        <w:rPr>
          <w:rFonts w:ascii="宋体" w:hAnsi="宋体"/>
          <w:sz w:val="24"/>
        </w:rPr>
      </w:pPr>
      <w:r>
        <w:rPr>
          <w:rFonts w:hint="eastAsia" w:ascii="宋体" w:hAnsi="宋体"/>
          <w:sz w:val="24"/>
        </w:rPr>
        <w:t xml:space="preserve">                          法定代表人或代理人（签字或盖章）：</w:t>
      </w:r>
      <w:r>
        <w:rPr>
          <w:rFonts w:hint="eastAsia" w:ascii="宋体" w:hAnsi="宋体"/>
          <w:sz w:val="24"/>
          <w:u w:val="single"/>
        </w:rPr>
        <w:t>_______________</w:t>
      </w:r>
    </w:p>
    <w:p>
      <w:pPr>
        <w:spacing w:line="560" w:lineRule="exact"/>
        <w:ind w:firstLine="495"/>
        <w:rPr>
          <w:rFonts w:ascii="宋体" w:hAnsi="宋体"/>
          <w:sz w:val="24"/>
        </w:rPr>
      </w:pPr>
      <w:r>
        <w:rPr>
          <w:rFonts w:hint="eastAsia" w:ascii="宋体" w:hAnsi="宋体"/>
          <w:sz w:val="24"/>
        </w:rPr>
        <w:t xml:space="preserve">                      日期: </w:t>
      </w:r>
      <w:r>
        <w:rPr>
          <w:rFonts w:hint="eastAsia" w:ascii="宋体" w:hAnsi="宋体"/>
          <w:sz w:val="24"/>
          <w:u w:val="single"/>
        </w:rPr>
        <w:t>______</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widowControl/>
        <w:jc w:val="left"/>
        <w:rPr>
          <w:rFonts w:ascii="宋体" w:hAnsi="宋体"/>
          <w:bCs/>
          <w:sz w:val="24"/>
        </w:rPr>
      </w:pPr>
      <w:r>
        <w:rPr>
          <w:rFonts w:ascii="宋体" w:hAnsi="宋体"/>
          <w:bCs/>
          <w:sz w:val="24"/>
        </w:rPr>
        <w:br w:type="page"/>
      </w:r>
    </w:p>
    <w:p>
      <w:pPr>
        <w:widowControl/>
        <w:jc w:val="left"/>
        <w:rPr>
          <w:rFonts w:ascii="黑体" w:hAnsi="宋体" w:eastAsia="黑体"/>
          <w:bCs/>
          <w:color w:val="000000" w:themeColor="text1"/>
          <w:sz w:val="24"/>
          <w:szCs w:val="24"/>
        </w:rPr>
      </w:pPr>
      <w:r>
        <w:rPr>
          <w:rFonts w:hint="eastAsia" w:ascii="黑体" w:hAnsi="宋体" w:eastAsia="黑体"/>
          <w:bCs/>
          <w:color w:val="000000" w:themeColor="text1"/>
          <w:sz w:val="24"/>
          <w:szCs w:val="24"/>
        </w:rPr>
        <w:t>（七）项目人员配置表</w:t>
      </w:r>
      <w:bookmarkEnd w:id="59"/>
      <w:r>
        <w:rPr>
          <w:rFonts w:hint="eastAsia" w:ascii="黑体" w:hAnsi="黑体" w:eastAsia="黑体"/>
          <w:sz w:val="24"/>
          <w:szCs w:val="24"/>
        </w:rPr>
        <w:t>（格式）</w:t>
      </w:r>
    </w:p>
    <w:p>
      <w:pPr>
        <w:spacing w:line="360" w:lineRule="auto"/>
        <w:ind w:firstLine="480" w:firstLineChars="200"/>
        <w:rPr>
          <w:color w:val="000000" w:themeColor="text1"/>
          <w:sz w:val="24"/>
          <w:szCs w:val="24"/>
        </w:rPr>
      </w:pPr>
    </w:p>
    <w:p>
      <w:pPr>
        <w:jc w:val="center"/>
        <w:rPr>
          <w:rFonts w:ascii="黑体" w:hAnsi="黑体" w:eastAsia="黑体"/>
          <w:sz w:val="28"/>
          <w:szCs w:val="28"/>
        </w:rPr>
      </w:pPr>
      <w:r>
        <w:rPr>
          <w:rFonts w:ascii="黑体" w:hAnsi="黑体" w:eastAsia="黑体"/>
          <w:sz w:val="28"/>
          <w:szCs w:val="28"/>
        </w:rPr>
        <w:t>项目人员配置</w:t>
      </w:r>
      <w:r>
        <w:rPr>
          <w:rFonts w:hint="eastAsia" w:ascii="黑体" w:hAnsi="黑体" w:eastAsia="黑体"/>
          <w:sz w:val="28"/>
          <w:szCs w:val="28"/>
        </w:rPr>
        <w:t>表</w:t>
      </w:r>
    </w:p>
    <w:p>
      <w:pPr>
        <w:ind w:firstLine="840" w:firstLineChars="350"/>
        <w:rPr>
          <w:rFonts w:ascii="黑体" w:hAnsi="Calibri" w:eastAsia="黑体"/>
          <w:bCs/>
          <w:sz w:val="24"/>
          <w:szCs w:val="24"/>
          <w:u w:val="single"/>
        </w:rPr>
      </w:pPr>
      <w:r>
        <w:rPr>
          <w:rFonts w:hint="eastAsia" w:ascii="黑体" w:hAnsi="Calibri" w:eastAsia="黑体"/>
          <w:bCs/>
          <w:sz w:val="24"/>
          <w:szCs w:val="24"/>
        </w:rPr>
        <w:t>供应商名称（盖章）：</w:t>
      </w:r>
      <w:r>
        <w:rPr>
          <w:rFonts w:hint="eastAsia" w:ascii="黑体" w:hAnsi="Calibri" w:eastAsia="黑体"/>
          <w:bCs/>
          <w:sz w:val="24"/>
          <w:szCs w:val="24"/>
          <w:u w:val="single"/>
        </w:rPr>
        <w:t xml:space="preserve">                </w:t>
      </w:r>
      <w:r>
        <w:rPr>
          <w:rFonts w:hint="eastAsia" w:ascii="黑体" w:hAnsi="Calibri" w:eastAsia="黑体"/>
          <w:bCs/>
          <w:sz w:val="24"/>
          <w:szCs w:val="24"/>
        </w:rPr>
        <w:t xml:space="preserve">      采购项目编号：</w:t>
      </w:r>
      <w:r>
        <w:rPr>
          <w:rFonts w:hint="eastAsia" w:ascii="黑体" w:hAnsi="Calibri" w:eastAsia="黑体"/>
          <w:bCs/>
          <w:sz w:val="24"/>
          <w:szCs w:val="24"/>
          <w:u w:val="single"/>
        </w:rPr>
        <w:t xml:space="preserve">              </w:t>
      </w:r>
    </w:p>
    <w:p>
      <w:pPr>
        <w:ind w:firstLine="840" w:firstLineChars="350"/>
        <w:rPr>
          <w:rFonts w:ascii="黑体" w:hAnsi="Calibri" w:eastAsia="黑体"/>
          <w:bCs/>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Calibri" w:hAnsi="Calibri"/>
                <w:b/>
                <w:sz w:val="24"/>
              </w:rPr>
            </w:pPr>
            <w:r>
              <w:rPr>
                <w:rFonts w:hint="eastAsia" w:ascii="Calibri" w:hAnsi="Calibri"/>
                <w:b/>
                <w:sz w:val="24"/>
              </w:rPr>
              <w:t>序号</w:t>
            </w:r>
          </w:p>
        </w:tc>
        <w:tc>
          <w:tcPr>
            <w:tcW w:w="2139" w:type="dxa"/>
            <w:vAlign w:val="center"/>
          </w:tcPr>
          <w:p>
            <w:pPr>
              <w:jc w:val="center"/>
              <w:rPr>
                <w:rFonts w:ascii="Calibri" w:hAnsi="Calibri"/>
                <w:b/>
                <w:sz w:val="24"/>
              </w:rPr>
            </w:pPr>
            <w:r>
              <w:rPr>
                <w:rFonts w:hint="eastAsia" w:ascii="Calibri" w:hAnsi="Calibri"/>
                <w:b/>
                <w:sz w:val="24"/>
              </w:rPr>
              <w:t>姓名</w:t>
            </w:r>
          </w:p>
        </w:tc>
        <w:tc>
          <w:tcPr>
            <w:tcW w:w="1134" w:type="dxa"/>
            <w:vAlign w:val="center"/>
          </w:tcPr>
          <w:p>
            <w:pPr>
              <w:jc w:val="center"/>
              <w:rPr>
                <w:rFonts w:ascii="Calibri" w:hAnsi="Calibri"/>
                <w:b/>
                <w:sz w:val="24"/>
              </w:rPr>
            </w:pPr>
            <w:r>
              <w:rPr>
                <w:rFonts w:hint="eastAsia" w:ascii="Calibri" w:hAnsi="Calibri"/>
                <w:b/>
                <w:sz w:val="24"/>
              </w:rPr>
              <w:t>年龄</w:t>
            </w:r>
          </w:p>
        </w:tc>
        <w:tc>
          <w:tcPr>
            <w:tcW w:w="2126" w:type="dxa"/>
            <w:vAlign w:val="center"/>
          </w:tcPr>
          <w:p>
            <w:pPr>
              <w:jc w:val="center"/>
              <w:rPr>
                <w:rFonts w:ascii="Calibri" w:hAnsi="Calibri"/>
                <w:b/>
                <w:sz w:val="24"/>
              </w:rPr>
            </w:pPr>
            <w:r>
              <w:rPr>
                <w:rFonts w:hint="eastAsia" w:ascii="Calibri" w:hAnsi="Calibri"/>
                <w:b/>
                <w:sz w:val="24"/>
              </w:rPr>
              <w:t>本项目职责</w:t>
            </w:r>
          </w:p>
        </w:tc>
        <w:tc>
          <w:tcPr>
            <w:tcW w:w="1689" w:type="dxa"/>
            <w:vAlign w:val="center"/>
          </w:tcPr>
          <w:p>
            <w:pPr>
              <w:jc w:val="center"/>
              <w:rPr>
                <w:rFonts w:ascii="Calibri" w:hAnsi="Calibri"/>
                <w:b/>
                <w:sz w:val="24"/>
              </w:rPr>
            </w:pPr>
            <w:r>
              <w:rPr>
                <w:rFonts w:hint="eastAsia" w:ascii="Calibri" w:hAnsi="Calibri"/>
                <w:b/>
                <w:sz w:val="24"/>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黑体" w:hAnsi="Calibri" w:eastAsia="黑体"/>
                <w:bCs/>
                <w:sz w:val="24"/>
                <w:szCs w:val="24"/>
              </w:rPr>
            </w:pPr>
          </w:p>
        </w:tc>
        <w:tc>
          <w:tcPr>
            <w:tcW w:w="1689" w:type="dxa"/>
          </w:tcPr>
          <w:p>
            <w:pPr>
              <w:jc w:val="center"/>
              <w:outlineLvl w:val="0"/>
              <w:rPr>
                <w:rFonts w:ascii="黑体" w:hAnsi="Calibri" w:eastAsia="黑体"/>
                <w:bCs/>
                <w:sz w:val="24"/>
                <w:szCs w:val="24"/>
              </w:rPr>
            </w:pPr>
          </w:p>
        </w:tc>
      </w:tr>
    </w:tbl>
    <w:p>
      <w:pPr>
        <w:rPr>
          <w:rFonts w:ascii="Calibri" w:hAnsi="Calibri"/>
          <w:b/>
          <w:bCs/>
          <w:color w:val="000000"/>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r>
        <w:rPr>
          <w:rFonts w:hint="eastAsia"/>
          <w:b/>
          <w:bCs/>
          <w:color w:val="000000" w:themeColor="text1"/>
          <w:sz w:val="24"/>
          <w:szCs w:val="24"/>
          <w:u w:val="single"/>
        </w:rPr>
        <w:t xml:space="preserve">                               </w:t>
      </w:r>
      <w:r>
        <w:rPr>
          <w:rFonts w:hint="eastAsia"/>
          <w:b/>
          <w:bCs/>
          <w:color w:val="000000" w:themeColor="text1"/>
          <w:sz w:val="24"/>
          <w:szCs w:val="24"/>
        </w:rPr>
        <w:t xml:space="preserve"> </w:t>
      </w:r>
    </w:p>
    <w:p>
      <w:pPr>
        <w:rPr>
          <w:rFonts w:ascii="宋体" w:hAnsi="宋体"/>
          <w:bCs/>
          <w:color w:val="000000"/>
          <w:szCs w:val="21"/>
        </w:rPr>
      </w:pPr>
    </w:p>
    <w:p>
      <w:pPr>
        <w:spacing w:line="360" w:lineRule="auto"/>
        <w:ind w:firstLine="480" w:firstLineChars="200"/>
        <w:rPr>
          <w:color w:val="000000" w:themeColor="text1"/>
          <w:sz w:val="24"/>
          <w:szCs w:val="24"/>
        </w:rPr>
      </w:pPr>
      <w:r>
        <w:rPr>
          <w:rFonts w:hint="eastAsia"/>
          <w:color w:val="000000" w:themeColor="text1"/>
          <w:sz w:val="24"/>
          <w:szCs w:val="24"/>
        </w:rPr>
        <w:t>注：</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 表格不够可自行延长。</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 上表内容须提供近三个月中任意一个月份（不含报价当月））经社保部门确认的社保缴纳名单复印件（标注各人员所处位置）和相关证书复印件作为填列证明材料，证明材料请附在本表之后。</w:t>
      </w:r>
    </w:p>
    <w:p>
      <w:pPr>
        <w:widowControl/>
        <w:jc w:val="left"/>
        <w:rPr>
          <w:color w:val="000000" w:themeColor="text1"/>
          <w:sz w:val="24"/>
          <w:szCs w:val="24"/>
        </w:rPr>
      </w:pPr>
    </w:p>
    <w:p>
      <w:pPr>
        <w:spacing w:line="360" w:lineRule="auto"/>
      </w:pPr>
      <w:r>
        <w:br w:type="page"/>
      </w:r>
    </w:p>
    <w:p>
      <w:pPr>
        <w:keepNext/>
        <w:spacing w:line="360" w:lineRule="auto"/>
        <w:jc w:val="center"/>
        <w:outlineLvl w:val="0"/>
        <w:rPr>
          <w:rFonts w:ascii="黑体" w:hAnsi="黑体" w:eastAsia="黑体" w:cs="Times New Roman"/>
          <w:bCs/>
          <w:kern w:val="0"/>
          <w:sz w:val="28"/>
          <w:szCs w:val="28"/>
        </w:rPr>
      </w:pPr>
      <w:bookmarkStart w:id="66" w:name="_Toc92976624"/>
      <w:bookmarkStart w:id="67" w:name="_Toc63173555"/>
      <w:r>
        <w:rPr>
          <w:rFonts w:hint="eastAsia" w:ascii="黑体" w:hAnsi="黑体" w:eastAsia="黑体" w:cs="Times New Roman"/>
          <w:bCs/>
          <w:kern w:val="0"/>
          <w:sz w:val="28"/>
          <w:szCs w:val="28"/>
        </w:rPr>
        <w:t>友 情 提 醒</w:t>
      </w:r>
      <w:bookmarkEnd w:id="66"/>
      <w:bookmarkEnd w:id="67"/>
    </w:p>
    <w:p>
      <w:pPr>
        <w:spacing w:line="360" w:lineRule="auto"/>
        <w:rPr>
          <w:rFonts w:eastAsia="宋体"/>
          <w:color w:val="000000" w:themeColor="text1"/>
          <w:sz w:val="24"/>
          <w:szCs w:val="24"/>
        </w:rPr>
      </w:pPr>
      <w:r>
        <w:rPr>
          <w:rFonts w:eastAsia="宋体"/>
          <w:color w:val="000000" w:themeColor="text1"/>
          <w:sz w:val="24"/>
          <w:szCs w:val="24"/>
        </w:rPr>
        <w:t>各供应商：</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您好！</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为了提高贵单位的响应文件的有效性，减少不必要的无效</w:t>
      </w:r>
      <w:r>
        <w:rPr>
          <w:rFonts w:hint="eastAsia" w:eastAsia="宋体"/>
          <w:color w:val="000000" w:themeColor="text1"/>
          <w:sz w:val="24"/>
          <w:szCs w:val="24"/>
        </w:rPr>
        <w:t>报价</w:t>
      </w:r>
      <w:r>
        <w:rPr>
          <w:rFonts w:eastAsia="宋体"/>
          <w:color w:val="000000" w:themeColor="text1"/>
          <w:sz w:val="24"/>
          <w:szCs w:val="24"/>
        </w:rPr>
        <w:t>，特友情提醒注意以下几点：</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1.</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请谨记采购文件上表述的各项事宜时间节点，特别是开标时间和地点，迟到的将一律不能进入开标室。</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3.</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响应文件应按要求密封，并在封袋上加盖供应商公章。</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 响应文件须按采购文件《二、供应商须知》及《五、响应文件格式》中相关要求装订、密封、标记、盖章和签署。响应文件封袋须加盖供应商公章。</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4.</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响应文件中的证明文件及资料需提供复印件并加盖公章，有要求提供原件或公证件的必须将原件或公证件携带至开标现场备查或核查。</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5.</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需要提供样品的，请严格按采购文件要求提供，同时注意密封、隐蔽标签的相关要求。</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6.</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7.</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设定最高限价的，超过限价一律废标。</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8.</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请精心仔细审阅采购文件，特别是加粗部分的文字。如有疑问，请按采购文件要求进行询疑。</w:t>
      </w:r>
    </w:p>
    <w:p>
      <w:pPr>
        <w:spacing w:line="360" w:lineRule="auto"/>
        <w:ind w:firstLine="480" w:firstLineChars="200"/>
        <w:rPr>
          <w:rFonts w:asciiTheme="minorEastAsia" w:hAnsiTheme="minorEastAsia"/>
          <w:color w:val="000000" w:themeColor="text1"/>
          <w:sz w:val="24"/>
          <w:szCs w:val="24"/>
        </w:rPr>
      </w:pP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我单位十分欢迎贵单位对招标采购组织工作提出宝贵意见和建议。电话：</w:t>
      </w:r>
      <w:r>
        <w:rPr>
          <w:rFonts w:hint="eastAsia" w:eastAsia="宋体"/>
          <w:color w:val="000000" w:themeColor="text1"/>
          <w:sz w:val="24"/>
          <w:szCs w:val="24"/>
        </w:rPr>
        <w:t>18915091067</w:t>
      </w:r>
      <w:r>
        <w:rPr>
          <w:rFonts w:eastAsia="宋体"/>
          <w:color w:val="000000" w:themeColor="text1"/>
          <w:sz w:val="24"/>
          <w:szCs w:val="24"/>
        </w:rPr>
        <w:t xml:space="preserve">  </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最后祝贵单位投标成功！</w:t>
      </w:r>
    </w:p>
    <w:p>
      <w:pPr>
        <w:spacing w:line="360" w:lineRule="auto"/>
        <w:ind w:firstLine="480" w:firstLineChars="200"/>
        <w:rPr>
          <w:rFonts w:eastAsia="宋体"/>
          <w:color w:val="000000" w:themeColor="text1"/>
          <w:sz w:val="24"/>
          <w:szCs w:val="24"/>
        </w:rPr>
      </w:pPr>
    </w:p>
    <w:p>
      <w:pPr>
        <w:spacing w:line="360" w:lineRule="auto"/>
        <w:ind w:firstLine="480" w:firstLineChars="200"/>
        <w:rPr>
          <w:color w:val="000000" w:themeColor="text1"/>
          <w:sz w:val="24"/>
          <w:szCs w:val="24"/>
        </w:rPr>
      </w:pPr>
      <w:r>
        <w:rPr>
          <w:rFonts w:eastAsia="宋体"/>
          <w:color w:val="000000" w:themeColor="text1"/>
          <w:sz w:val="24"/>
          <w:szCs w:val="24"/>
        </w:rPr>
        <w:t>本采购文件的最终解释权归江苏仁禾中衡工程咨询房地产估价有限公司所有。</w:t>
      </w:r>
    </w:p>
    <w:p>
      <w:pPr>
        <w:spacing w:line="360" w:lineRule="auto"/>
        <w:jc w:val="center"/>
        <w:rPr>
          <w:rFonts w:ascii="黑体" w:hAnsi="黑体" w:eastAsia="黑体"/>
          <w:color w:val="000000" w:themeColor="text1"/>
          <w:sz w:val="28"/>
          <w:szCs w:val="28"/>
        </w:rPr>
      </w:pPr>
      <w:r>
        <w:rPr>
          <w:rFonts w:hint="eastAsia" w:ascii="黑体" w:hAnsi="黑体" w:eastAsia="黑体"/>
          <w:color w:val="000000" w:themeColor="text1"/>
          <w:sz w:val="28"/>
          <w:szCs w:val="28"/>
        </w:rPr>
        <w:t>（全文完）</w:t>
      </w:r>
    </w:p>
    <w:p>
      <w:pPr>
        <w:widowControl/>
        <w:jc w:val="left"/>
        <w:rPr>
          <w:rFonts w:ascii="黑体" w:hAnsi="黑体" w:eastAsia="黑体"/>
          <w:color w:val="000000" w:themeColor="text1"/>
          <w:sz w:val="28"/>
          <w:szCs w:val="28"/>
        </w:rPr>
      </w:pPr>
    </w:p>
    <w:sectPr>
      <w:headerReference r:id="rId12" w:type="first"/>
      <w:footerReference r:id="rId14" w:type="first"/>
      <w:headerReference r:id="rId10" w:type="default"/>
      <w:footerReference r:id="rId13" w:type="default"/>
      <w:headerReference r:id="rId11"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docPartObj>
        <w:docPartGallery w:val="autotext"/>
      </w:docPartObj>
    </w:sdtPr>
    <w:sdtContent>
      <w:p>
        <w:pPr>
          <w:pStyle w:val="20"/>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807669"/>
      <w:docPartObj>
        <w:docPartGallery w:val="autotext"/>
      </w:docPartObj>
    </w:sdtPr>
    <w:sdtContent>
      <w:p>
        <w:pPr>
          <w:pStyle w:val="20"/>
          <w:tabs>
            <w:tab w:val="left" w:pos="3900"/>
            <w:tab w:val="center" w:pos="4960"/>
          </w:tabs>
          <w:rPr>
            <w:rFonts w:asciiTheme="minorHAnsi" w:hAnsiTheme="minorHAnsi" w:eastAsiaTheme="minorEastAsia" w:cstheme="minorBidi"/>
            <w:kern w:val="2"/>
            <w:sz w:val="21"/>
            <w:szCs w:val="22"/>
          </w:rPr>
        </w:pPr>
        <w:r>
          <w:tab/>
        </w:r>
        <w:r>
          <w:tab/>
        </w:r>
        <w:r>
          <w:rPr>
            <w:rFonts w:asciiTheme="minorEastAsia" w:hAnsiTheme="minorEastAsia" w:eastAsiaTheme="minorEastAsia"/>
            <w:sz w:val="21"/>
            <w:szCs w:val="21"/>
            <w:lang w:val="zh-CN"/>
          </w:rPr>
          <w:t xml:space="preserve"> 第</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19</w:t>
        </w:r>
        <w:r>
          <w:rPr>
            <w:rFonts w:asciiTheme="minorEastAsia" w:hAnsiTheme="minorEastAsia" w:eastAsiaTheme="minorEastAsia"/>
            <w:bCs/>
            <w:sz w:val="21"/>
            <w:szCs w:val="21"/>
          </w:rPr>
          <w:fldChar w:fldCharType="end"/>
        </w:r>
        <w:r>
          <w:rPr>
            <w:rFonts w:asciiTheme="minorEastAsia" w:hAnsiTheme="minorEastAsia" w:eastAsiaTheme="minorEastAsia"/>
            <w:bCs/>
            <w:sz w:val="21"/>
            <w:szCs w:val="21"/>
          </w:rPr>
          <w:t>页</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t>共</w:t>
        </w:r>
        <w:r>
          <w:rPr>
            <w:rFonts w:hint="eastAsia" w:asciiTheme="minorEastAsia" w:hAnsiTheme="minorEastAsia" w:eastAsiaTheme="minorEastAsia"/>
            <w:bCs/>
            <w:sz w:val="21"/>
            <w:szCs w:val="21"/>
          </w:rPr>
          <w:t>42</w:t>
        </w:r>
        <w:r>
          <w:rPr>
            <w:rFonts w:asciiTheme="minorEastAsia" w:hAnsiTheme="minorEastAsia" w:eastAsiaTheme="minorEastAsia"/>
            <w:bCs/>
            <w:sz w:val="21"/>
            <w:szCs w:val="21"/>
          </w:rPr>
          <w:t>页</w:t>
        </w:r>
      </w:p>
    </w:sdtContent>
  </w:sdt>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100909"/>
      <w:docPartObj>
        <w:docPartGallery w:val="autotext"/>
      </w:docPartObj>
    </w:sdtPr>
    <w:sdtEndPr>
      <w:rPr>
        <w:rFonts w:asciiTheme="minorEastAsia" w:hAnsiTheme="minorEastAsia" w:eastAsiaTheme="minorEastAsia"/>
        <w:sz w:val="21"/>
        <w:szCs w:val="21"/>
        <w:lang w:val="zh-CN"/>
      </w:rPr>
    </w:sdtEndPr>
    <w:sdtContent>
      <w:sdt>
        <w:sdtPr>
          <w:id w:val="-1669238322"/>
          <w:docPartObj>
            <w:docPartGallery w:val="autotext"/>
          </w:docPartObj>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37</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页，共37页</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5"/>
      </w:rPr>
      <w:id w:val="-368604791"/>
      <w:docPartObj>
        <w:docPartGallery w:val="autotext"/>
      </w:docPartObj>
    </w:sdtPr>
    <w:sdtEndPr>
      <w:rPr>
        <w:rStyle w:val="35"/>
      </w:rPr>
    </w:sdtEndPr>
    <w:sdtContent>
      <w:p>
        <w:pPr>
          <w:pStyle w:val="20"/>
          <w:framePr w:wrap="around" w:vAnchor="text" w:hAnchor="margin" w:xAlign="center" w:y="1"/>
          <w:rPr>
            <w:rStyle w:val="35"/>
          </w:rPr>
        </w:pPr>
        <w:r>
          <w:rPr>
            <w:rStyle w:val="35"/>
          </w:rPr>
          <w:fldChar w:fldCharType="begin"/>
        </w:r>
        <w:r>
          <w:rPr>
            <w:rStyle w:val="35"/>
          </w:rPr>
          <w:instrText xml:space="preserve"> PAGE </w:instrText>
        </w:r>
        <w:r>
          <w:rPr>
            <w:rStyle w:val="35"/>
          </w:rPr>
          <w:fldChar w:fldCharType="separate"/>
        </w:r>
        <w:r>
          <w:rPr>
            <w:rStyle w:val="35"/>
          </w:rPr>
          <w:t>1</w:t>
        </w:r>
        <w:r>
          <w:rPr>
            <w:rStyle w:val="35"/>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6"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59DB"/>
    <w:multiLevelType w:val="multilevel"/>
    <w:tmpl w:val="0F6559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68CF1482"/>
    <w:multiLevelType w:val="multilevel"/>
    <w:tmpl w:val="68CF14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3D0E7A"/>
    <w:multiLevelType w:val="multilevel"/>
    <w:tmpl w:val="713D0E7A"/>
    <w:lvl w:ilvl="0" w:tentative="0">
      <w:start w:val="1"/>
      <w:numFmt w:val="decimal"/>
      <w:lvlText w:val="%1、"/>
      <w:lvlJc w:val="left"/>
      <w:pPr>
        <w:ind w:left="360" w:hanging="360"/>
      </w:pPr>
      <w:rPr>
        <w:rFonts w:asciiTheme="minorEastAsia" w:hAnsiTheme="minorEastAsia"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6"/>
  </w:num>
  <w:num w:numId="4">
    <w:abstractNumId w:val="1"/>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40"/>
    <w:rsid w:val="00003B80"/>
    <w:rsid w:val="000048AE"/>
    <w:rsid w:val="00007D9A"/>
    <w:rsid w:val="00011B5A"/>
    <w:rsid w:val="00021B35"/>
    <w:rsid w:val="00023F37"/>
    <w:rsid w:val="00025959"/>
    <w:rsid w:val="00025CDA"/>
    <w:rsid w:val="00027136"/>
    <w:rsid w:val="000304B3"/>
    <w:rsid w:val="0003505C"/>
    <w:rsid w:val="00036049"/>
    <w:rsid w:val="0003756D"/>
    <w:rsid w:val="00040D3C"/>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70B23"/>
    <w:rsid w:val="00071CFE"/>
    <w:rsid w:val="00072395"/>
    <w:rsid w:val="0007466C"/>
    <w:rsid w:val="00081AD6"/>
    <w:rsid w:val="00085025"/>
    <w:rsid w:val="000853A3"/>
    <w:rsid w:val="00091725"/>
    <w:rsid w:val="00091930"/>
    <w:rsid w:val="000935DA"/>
    <w:rsid w:val="000951E0"/>
    <w:rsid w:val="00095D10"/>
    <w:rsid w:val="00096B78"/>
    <w:rsid w:val="00096F5C"/>
    <w:rsid w:val="000A01C4"/>
    <w:rsid w:val="000A2B2B"/>
    <w:rsid w:val="000A3786"/>
    <w:rsid w:val="000A611A"/>
    <w:rsid w:val="000A6A2A"/>
    <w:rsid w:val="000A7FF1"/>
    <w:rsid w:val="000B02BF"/>
    <w:rsid w:val="000B5A22"/>
    <w:rsid w:val="000C394C"/>
    <w:rsid w:val="000D0966"/>
    <w:rsid w:val="000D3F14"/>
    <w:rsid w:val="000D5056"/>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26DCE"/>
    <w:rsid w:val="0013089A"/>
    <w:rsid w:val="00130E7A"/>
    <w:rsid w:val="001313B9"/>
    <w:rsid w:val="0013250F"/>
    <w:rsid w:val="00133344"/>
    <w:rsid w:val="00133FEA"/>
    <w:rsid w:val="00135918"/>
    <w:rsid w:val="00136D32"/>
    <w:rsid w:val="00136D88"/>
    <w:rsid w:val="001370A3"/>
    <w:rsid w:val="0013765A"/>
    <w:rsid w:val="00141B65"/>
    <w:rsid w:val="00147551"/>
    <w:rsid w:val="00147D46"/>
    <w:rsid w:val="00151AAE"/>
    <w:rsid w:val="00153554"/>
    <w:rsid w:val="00153F19"/>
    <w:rsid w:val="00154EA1"/>
    <w:rsid w:val="00161412"/>
    <w:rsid w:val="0016169A"/>
    <w:rsid w:val="001645F2"/>
    <w:rsid w:val="00164C83"/>
    <w:rsid w:val="00166A1C"/>
    <w:rsid w:val="00166B9F"/>
    <w:rsid w:val="00170876"/>
    <w:rsid w:val="0017431C"/>
    <w:rsid w:val="001774EB"/>
    <w:rsid w:val="00180119"/>
    <w:rsid w:val="0018151D"/>
    <w:rsid w:val="0018434D"/>
    <w:rsid w:val="00184781"/>
    <w:rsid w:val="00197209"/>
    <w:rsid w:val="001A0B7A"/>
    <w:rsid w:val="001A3FBC"/>
    <w:rsid w:val="001A6D24"/>
    <w:rsid w:val="001A706E"/>
    <w:rsid w:val="001A7A41"/>
    <w:rsid w:val="001B10DC"/>
    <w:rsid w:val="001B3832"/>
    <w:rsid w:val="001B4A4A"/>
    <w:rsid w:val="001B4F76"/>
    <w:rsid w:val="001B76D5"/>
    <w:rsid w:val="001C0741"/>
    <w:rsid w:val="001C0B47"/>
    <w:rsid w:val="001C0DBC"/>
    <w:rsid w:val="001C213A"/>
    <w:rsid w:val="001D1504"/>
    <w:rsid w:val="001D26CC"/>
    <w:rsid w:val="001D3F66"/>
    <w:rsid w:val="001E01CF"/>
    <w:rsid w:val="001E150A"/>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10AF"/>
    <w:rsid w:val="00294423"/>
    <w:rsid w:val="00294538"/>
    <w:rsid w:val="002946D4"/>
    <w:rsid w:val="002A6BFE"/>
    <w:rsid w:val="002A7107"/>
    <w:rsid w:val="002A7AF7"/>
    <w:rsid w:val="002B10B3"/>
    <w:rsid w:val="002B150D"/>
    <w:rsid w:val="002B2C3C"/>
    <w:rsid w:val="002B4BBF"/>
    <w:rsid w:val="002B685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F72"/>
    <w:rsid w:val="002F2892"/>
    <w:rsid w:val="002F34EC"/>
    <w:rsid w:val="002F72C2"/>
    <w:rsid w:val="00301DEA"/>
    <w:rsid w:val="00304725"/>
    <w:rsid w:val="00305C33"/>
    <w:rsid w:val="00305E08"/>
    <w:rsid w:val="003119B4"/>
    <w:rsid w:val="003128B5"/>
    <w:rsid w:val="003140CE"/>
    <w:rsid w:val="00316A5B"/>
    <w:rsid w:val="00320C76"/>
    <w:rsid w:val="0032309C"/>
    <w:rsid w:val="003245E2"/>
    <w:rsid w:val="003268BA"/>
    <w:rsid w:val="00327E25"/>
    <w:rsid w:val="003319FF"/>
    <w:rsid w:val="0033294C"/>
    <w:rsid w:val="0033728E"/>
    <w:rsid w:val="003373D3"/>
    <w:rsid w:val="00340E56"/>
    <w:rsid w:val="00342126"/>
    <w:rsid w:val="003453B0"/>
    <w:rsid w:val="00345ED2"/>
    <w:rsid w:val="00346850"/>
    <w:rsid w:val="0035261B"/>
    <w:rsid w:val="0035426D"/>
    <w:rsid w:val="00354735"/>
    <w:rsid w:val="00356747"/>
    <w:rsid w:val="003606A1"/>
    <w:rsid w:val="00362634"/>
    <w:rsid w:val="003631D4"/>
    <w:rsid w:val="0036528A"/>
    <w:rsid w:val="00372490"/>
    <w:rsid w:val="003724E1"/>
    <w:rsid w:val="00374785"/>
    <w:rsid w:val="00374F99"/>
    <w:rsid w:val="003750B1"/>
    <w:rsid w:val="00387D89"/>
    <w:rsid w:val="00392089"/>
    <w:rsid w:val="00392157"/>
    <w:rsid w:val="00393FB0"/>
    <w:rsid w:val="003973FB"/>
    <w:rsid w:val="003A1EEF"/>
    <w:rsid w:val="003A2B32"/>
    <w:rsid w:val="003A30AE"/>
    <w:rsid w:val="003A518E"/>
    <w:rsid w:val="003A6FD9"/>
    <w:rsid w:val="003B0177"/>
    <w:rsid w:val="003B1A45"/>
    <w:rsid w:val="003B1C96"/>
    <w:rsid w:val="003B5D97"/>
    <w:rsid w:val="003B6DDC"/>
    <w:rsid w:val="003C44D1"/>
    <w:rsid w:val="003C46E2"/>
    <w:rsid w:val="003C64FC"/>
    <w:rsid w:val="003D33EB"/>
    <w:rsid w:val="003D3D61"/>
    <w:rsid w:val="003D4C6E"/>
    <w:rsid w:val="003D4DFC"/>
    <w:rsid w:val="003D7731"/>
    <w:rsid w:val="003E2FFD"/>
    <w:rsid w:val="003E5D27"/>
    <w:rsid w:val="003F0A5F"/>
    <w:rsid w:val="003F0A6E"/>
    <w:rsid w:val="003F2666"/>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3266"/>
    <w:rsid w:val="0043343C"/>
    <w:rsid w:val="0043414A"/>
    <w:rsid w:val="004345F2"/>
    <w:rsid w:val="004347B2"/>
    <w:rsid w:val="00440226"/>
    <w:rsid w:val="00440403"/>
    <w:rsid w:val="0044360E"/>
    <w:rsid w:val="004438AB"/>
    <w:rsid w:val="00443AAC"/>
    <w:rsid w:val="004466E4"/>
    <w:rsid w:val="00450228"/>
    <w:rsid w:val="00457796"/>
    <w:rsid w:val="0046128A"/>
    <w:rsid w:val="00462729"/>
    <w:rsid w:val="004635E7"/>
    <w:rsid w:val="004649AD"/>
    <w:rsid w:val="004669BA"/>
    <w:rsid w:val="00470340"/>
    <w:rsid w:val="004703CF"/>
    <w:rsid w:val="004726E3"/>
    <w:rsid w:val="00473CE7"/>
    <w:rsid w:val="00475381"/>
    <w:rsid w:val="00476318"/>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473E"/>
    <w:rsid w:val="004A5848"/>
    <w:rsid w:val="004B28CE"/>
    <w:rsid w:val="004B47A7"/>
    <w:rsid w:val="004B5D69"/>
    <w:rsid w:val="004C1504"/>
    <w:rsid w:val="004C152C"/>
    <w:rsid w:val="004C1FD5"/>
    <w:rsid w:val="004C296E"/>
    <w:rsid w:val="004C2B34"/>
    <w:rsid w:val="004C5AE3"/>
    <w:rsid w:val="004D0130"/>
    <w:rsid w:val="004D48F5"/>
    <w:rsid w:val="004E1640"/>
    <w:rsid w:val="004E3B03"/>
    <w:rsid w:val="004E46D2"/>
    <w:rsid w:val="004F08E1"/>
    <w:rsid w:val="004F243A"/>
    <w:rsid w:val="004F4FA2"/>
    <w:rsid w:val="004F580F"/>
    <w:rsid w:val="00503180"/>
    <w:rsid w:val="00503ECB"/>
    <w:rsid w:val="00504012"/>
    <w:rsid w:val="00506D80"/>
    <w:rsid w:val="00507555"/>
    <w:rsid w:val="00513459"/>
    <w:rsid w:val="005175EA"/>
    <w:rsid w:val="00520E32"/>
    <w:rsid w:val="005210E7"/>
    <w:rsid w:val="00521C9B"/>
    <w:rsid w:val="005222A7"/>
    <w:rsid w:val="0052245F"/>
    <w:rsid w:val="00522535"/>
    <w:rsid w:val="00523D86"/>
    <w:rsid w:val="00525E72"/>
    <w:rsid w:val="00526482"/>
    <w:rsid w:val="00526615"/>
    <w:rsid w:val="00526B1D"/>
    <w:rsid w:val="005333BD"/>
    <w:rsid w:val="0053577E"/>
    <w:rsid w:val="00535C96"/>
    <w:rsid w:val="00542479"/>
    <w:rsid w:val="005426A3"/>
    <w:rsid w:val="005430CC"/>
    <w:rsid w:val="00543C1B"/>
    <w:rsid w:val="00545525"/>
    <w:rsid w:val="00550CC3"/>
    <w:rsid w:val="005522C5"/>
    <w:rsid w:val="00553339"/>
    <w:rsid w:val="00561A77"/>
    <w:rsid w:val="00564EE9"/>
    <w:rsid w:val="00565EB9"/>
    <w:rsid w:val="0056602F"/>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C05C5"/>
    <w:rsid w:val="005C1267"/>
    <w:rsid w:val="005C2F0F"/>
    <w:rsid w:val="005C516A"/>
    <w:rsid w:val="005C73DA"/>
    <w:rsid w:val="005D3069"/>
    <w:rsid w:val="005D3EB4"/>
    <w:rsid w:val="005D6D16"/>
    <w:rsid w:val="005E140C"/>
    <w:rsid w:val="005E15AD"/>
    <w:rsid w:val="005E4D9F"/>
    <w:rsid w:val="005E53C9"/>
    <w:rsid w:val="005E5BA9"/>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205AA"/>
    <w:rsid w:val="00620E63"/>
    <w:rsid w:val="006214DA"/>
    <w:rsid w:val="00622710"/>
    <w:rsid w:val="006239C8"/>
    <w:rsid w:val="0062722D"/>
    <w:rsid w:val="00627FF7"/>
    <w:rsid w:val="0063000B"/>
    <w:rsid w:val="00634FB9"/>
    <w:rsid w:val="00635C8B"/>
    <w:rsid w:val="00636ABF"/>
    <w:rsid w:val="0064361B"/>
    <w:rsid w:val="00644095"/>
    <w:rsid w:val="006445BC"/>
    <w:rsid w:val="006469F7"/>
    <w:rsid w:val="006474D8"/>
    <w:rsid w:val="00656D3B"/>
    <w:rsid w:val="006605B2"/>
    <w:rsid w:val="00660C5F"/>
    <w:rsid w:val="00660DA3"/>
    <w:rsid w:val="00661355"/>
    <w:rsid w:val="00671B4C"/>
    <w:rsid w:val="00675965"/>
    <w:rsid w:val="006777BA"/>
    <w:rsid w:val="0068083B"/>
    <w:rsid w:val="00680DF5"/>
    <w:rsid w:val="006818C4"/>
    <w:rsid w:val="00684D94"/>
    <w:rsid w:val="006856D2"/>
    <w:rsid w:val="00690AD8"/>
    <w:rsid w:val="00691240"/>
    <w:rsid w:val="006945AB"/>
    <w:rsid w:val="00694F21"/>
    <w:rsid w:val="00697621"/>
    <w:rsid w:val="006A098D"/>
    <w:rsid w:val="006A7A51"/>
    <w:rsid w:val="006B1E99"/>
    <w:rsid w:val="006B445C"/>
    <w:rsid w:val="006B7845"/>
    <w:rsid w:val="006C02D1"/>
    <w:rsid w:val="006C2118"/>
    <w:rsid w:val="006C68A2"/>
    <w:rsid w:val="006C6980"/>
    <w:rsid w:val="006C6D06"/>
    <w:rsid w:val="006C7D90"/>
    <w:rsid w:val="006D1C29"/>
    <w:rsid w:val="006D3F61"/>
    <w:rsid w:val="006D41F6"/>
    <w:rsid w:val="006D5AE8"/>
    <w:rsid w:val="006D6621"/>
    <w:rsid w:val="006D73B5"/>
    <w:rsid w:val="006E1633"/>
    <w:rsid w:val="006E346E"/>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22856"/>
    <w:rsid w:val="00722DAF"/>
    <w:rsid w:val="00723F71"/>
    <w:rsid w:val="00724587"/>
    <w:rsid w:val="00724C4E"/>
    <w:rsid w:val="00727356"/>
    <w:rsid w:val="00731841"/>
    <w:rsid w:val="00732F82"/>
    <w:rsid w:val="00733BB2"/>
    <w:rsid w:val="0073514C"/>
    <w:rsid w:val="00736C20"/>
    <w:rsid w:val="00740FC9"/>
    <w:rsid w:val="0074117B"/>
    <w:rsid w:val="00741676"/>
    <w:rsid w:val="00743825"/>
    <w:rsid w:val="00744A9F"/>
    <w:rsid w:val="00745C42"/>
    <w:rsid w:val="007461A4"/>
    <w:rsid w:val="007467D8"/>
    <w:rsid w:val="00747BFB"/>
    <w:rsid w:val="00750061"/>
    <w:rsid w:val="0075295B"/>
    <w:rsid w:val="0075660E"/>
    <w:rsid w:val="0075684A"/>
    <w:rsid w:val="00761377"/>
    <w:rsid w:val="00762816"/>
    <w:rsid w:val="00763E37"/>
    <w:rsid w:val="00763F31"/>
    <w:rsid w:val="00766BE9"/>
    <w:rsid w:val="00766C58"/>
    <w:rsid w:val="00766DBD"/>
    <w:rsid w:val="007677DC"/>
    <w:rsid w:val="007760DD"/>
    <w:rsid w:val="0078174B"/>
    <w:rsid w:val="00782E16"/>
    <w:rsid w:val="0078752C"/>
    <w:rsid w:val="007876FD"/>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6609"/>
    <w:rsid w:val="007D6A15"/>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317C3"/>
    <w:rsid w:val="008333AB"/>
    <w:rsid w:val="00833500"/>
    <w:rsid w:val="00842802"/>
    <w:rsid w:val="00845C90"/>
    <w:rsid w:val="0084602D"/>
    <w:rsid w:val="008470A9"/>
    <w:rsid w:val="00847C32"/>
    <w:rsid w:val="00854E6D"/>
    <w:rsid w:val="0086163C"/>
    <w:rsid w:val="00861B70"/>
    <w:rsid w:val="00862560"/>
    <w:rsid w:val="00864082"/>
    <w:rsid w:val="00865EF6"/>
    <w:rsid w:val="008663DF"/>
    <w:rsid w:val="0086672B"/>
    <w:rsid w:val="0086699A"/>
    <w:rsid w:val="008676F7"/>
    <w:rsid w:val="008712A3"/>
    <w:rsid w:val="00876B1C"/>
    <w:rsid w:val="00876BDE"/>
    <w:rsid w:val="00877260"/>
    <w:rsid w:val="0087730C"/>
    <w:rsid w:val="00883341"/>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20D"/>
    <w:rsid w:val="008A7FF8"/>
    <w:rsid w:val="008B0C6D"/>
    <w:rsid w:val="008B1A19"/>
    <w:rsid w:val="008B4B6D"/>
    <w:rsid w:val="008B531A"/>
    <w:rsid w:val="008B5E5F"/>
    <w:rsid w:val="008C3E2E"/>
    <w:rsid w:val="008C435E"/>
    <w:rsid w:val="008C4A77"/>
    <w:rsid w:val="008C5372"/>
    <w:rsid w:val="008C6F75"/>
    <w:rsid w:val="008D0661"/>
    <w:rsid w:val="008D075F"/>
    <w:rsid w:val="008D0D50"/>
    <w:rsid w:val="008D1CFF"/>
    <w:rsid w:val="008D480A"/>
    <w:rsid w:val="008E42CA"/>
    <w:rsid w:val="008E5A25"/>
    <w:rsid w:val="008F1893"/>
    <w:rsid w:val="008F7BCF"/>
    <w:rsid w:val="0090009F"/>
    <w:rsid w:val="00900CD6"/>
    <w:rsid w:val="00901172"/>
    <w:rsid w:val="009037D8"/>
    <w:rsid w:val="009074EF"/>
    <w:rsid w:val="00912C28"/>
    <w:rsid w:val="009141DF"/>
    <w:rsid w:val="00914675"/>
    <w:rsid w:val="009152FE"/>
    <w:rsid w:val="0092375C"/>
    <w:rsid w:val="00924DDB"/>
    <w:rsid w:val="00927B76"/>
    <w:rsid w:val="00932960"/>
    <w:rsid w:val="0093404F"/>
    <w:rsid w:val="009409F6"/>
    <w:rsid w:val="00941939"/>
    <w:rsid w:val="00942491"/>
    <w:rsid w:val="00942E16"/>
    <w:rsid w:val="00943480"/>
    <w:rsid w:val="009438D9"/>
    <w:rsid w:val="00945C18"/>
    <w:rsid w:val="0094751F"/>
    <w:rsid w:val="009515EA"/>
    <w:rsid w:val="00951AAD"/>
    <w:rsid w:val="009521C2"/>
    <w:rsid w:val="00952C72"/>
    <w:rsid w:val="00955B68"/>
    <w:rsid w:val="00963166"/>
    <w:rsid w:val="009672D8"/>
    <w:rsid w:val="009705FE"/>
    <w:rsid w:val="00971EF0"/>
    <w:rsid w:val="00971F8D"/>
    <w:rsid w:val="00977902"/>
    <w:rsid w:val="00981606"/>
    <w:rsid w:val="00981814"/>
    <w:rsid w:val="00983500"/>
    <w:rsid w:val="009863E9"/>
    <w:rsid w:val="0099184F"/>
    <w:rsid w:val="00991BF9"/>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F261F"/>
    <w:rsid w:val="00A03484"/>
    <w:rsid w:val="00A044A8"/>
    <w:rsid w:val="00A10335"/>
    <w:rsid w:val="00A11D6B"/>
    <w:rsid w:val="00A12125"/>
    <w:rsid w:val="00A15462"/>
    <w:rsid w:val="00A17C62"/>
    <w:rsid w:val="00A200B9"/>
    <w:rsid w:val="00A22E1F"/>
    <w:rsid w:val="00A24ADC"/>
    <w:rsid w:val="00A311C2"/>
    <w:rsid w:val="00A31297"/>
    <w:rsid w:val="00A33178"/>
    <w:rsid w:val="00A33366"/>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508F"/>
    <w:rsid w:val="00A70373"/>
    <w:rsid w:val="00A7044D"/>
    <w:rsid w:val="00A7070F"/>
    <w:rsid w:val="00A74EB5"/>
    <w:rsid w:val="00A75069"/>
    <w:rsid w:val="00A76753"/>
    <w:rsid w:val="00A76AD3"/>
    <w:rsid w:val="00A81174"/>
    <w:rsid w:val="00A81FAD"/>
    <w:rsid w:val="00A83D02"/>
    <w:rsid w:val="00A87451"/>
    <w:rsid w:val="00A915B3"/>
    <w:rsid w:val="00A9177B"/>
    <w:rsid w:val="00A922DD"/>
    <w:rsid w:val="00A94252"/>
    <w:rsid w:val="00A94C4E"/>
    <w:rsid w:val="00A95566"/>
    <w:rsid w:val="00A97430"/>
    <w:rsid w:val="00AA2783"/>
    <w:rsid w:val="00AA5130"/>
    <w:rsid w:val="00AA73A2"/>
    <w:rsid w:val="00AA7B27"/>
    <w:rsid w:val="00AB0A41"/>
    <w:rsid w:val="00AB2031"/>
    <w:rsid w:val="00AB62BB"/>
    <w:rsid w:val="00AC10A8"/>
    <w:rsid w:val="00AC5887"/>
    <w:rsid w:val="00AC68A3"/>
    <w:rsid w:val="00AD1AD3"/>
    <w:rsid w:val="00AD1E17"/>
    <w:rsid w:val="00AD4F7A"/>
    <w:rsid w:val="00AD59C6"/>
    <w:rsid w:val="00AE0BF8"/>
    <w:rsid w:val="00AE119C"/>
    <w:rsid w:val="00AE18A3"/>
    <w:rsid w:val="00AE1D21"/>
    <w:rsid w:val="00AE2251"/>
    <w:rsid w:val="00AE5201"/>
    <w:rsid w:val="00B0370E"/>
    <w:rsid w:val="00B049F0"/>
    <w:rsid w:val="00B04EEC"/>
    <w:rsid w:val="00B05B4A"/>
    <w:rsid w:val="00B0737E"/>
    <w:rsid w:val="00B1059A"/>
    <w:rsid w:val="00B15872"/>
    <w:rsid w:val="00B1599E"/>
    <w:rsid w:val="00B15DB4"/>
    <w:rsid w:val="00B20C8D"/>
    <w:rsid w:val="00B20CF2"/>
    <w:rsid w:val="00B21D6F"/>
    <w:rsid w:val="00B223BD"/>
    <w:rsid w:val="00B23C0B"/>
    <w:rsid w:val="00B24336"/>
    <w:rsid w:val="00B25D0E"/>
    <w:rsid w:val="00B2689E"/>
    <w:rsid w:val="00B278AB"/>
    <w:rsid w:val="00B31203"/>
    <w:rsid w:val="00B31534"/>
    <w:rsid w:val="00B340F0"/>
    <w:rsid w:val="00B3565A"/>
    <w:rsid w:val="00B3582B"/>
    <w:rsid w:val="00B40679"/>
    <w:rsid w:val="00B4119A"/>
    <w:rsid w:val="00B43A62"/>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1A6A"/>
    <w:rsid w:val="00B926A3"/>
    <w:rsid w:val="00B92D19"/>
    <w:rsid w:val="00B944C6"/>
    <w:rsid w:val="00B95553"/>
    <w:rsid w:val="00B96226"/>
    <w:rsid w:val="00BA1230"/>
    <w:rsid w:val="00BA1EF2"/>
    <w:rsid w:val="00BA29EF"/>
    <w:rsid w:val="00BA3FC9"/>
    <w:rsid w:val="00BA708B"/>
    <w:rsid w:val="00BB5D84"/>
    <w:rsid w:val="00BC6208"/>
    <w:rsid w:val="00BC67D9"/>
    <w:rsid w:val="00BC7D51"/>
    <w:rsid w:val="00BD3F67"/>
    <w:rsid w:val="00BD46F2"/>
    <w:rsid w:val="00BD4706"/>
    <w:rsid w:val="00BD4E1B"/>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718EB"/>
    <w:rsid w:val="00C720A7"/>
    <w:rsid w:val="00C72752"/>
    <w:rsid w:val="00C729BC"/>
    <w:rsid w:val="00C74828"/>
    <w:rsid w:val="00C76010"/>
    <w:rsid w:val="00C8063F"/>
    <w:rsid w:val="00C82189"/>
    <w:rsid w:val="00C82C3C"/>
    <w:rsid w:val="00C82EA4"/>
    <w:rsid w:val="00C8384B"/>
    <w:rsid w:val="00C84452"/>
    <w:rsid w:val="00C8468B"/>
    <w:rsid w:val="00C900FE"/>
    <w:rsid w:val="00C925A2"/>
    <w:rsid w:val="00C93603"/>
    <w:rsid w:val="00C952EE"/>
    <w:rsid w:val="00CA228C"/>
    <w:rsid w:val="00CA24DC"/>
    <w:rsid w:val="00CA2C2C"/>
    <w:rsid w:val="00CA5793"/>
    <w:rsid w:val="00CA5CD2"/>
    <w:rsid w:val="00CB1DFA"/>
    <w:rsid w:val="00CB37FE"/>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79DC"/>
    <w:rsid w:val="00CE7B2C"/>
    <w:rsid w:val="00CF2A13"/>
    <w:rsid w:val="00CF373C"/>
    <w:rsid w:val="00CF49F4"/>
    <w:rsid w:val="00CF4EF4"/>
    <w:rsid w:val="00CF57FE"/>
    <w:rsid w:val="00CF591F"/>
    <w:rsid w:val="00CF6384"/>
    <w:rsid w:val="00D02A22"/>
    <w:rsid w:val="00D037D0"/>
    <w:rsid w:val="00D05F26"/>
    <w:rsid w:val="00D11E4A"/>
    <w:rsid w:val="00D14AB0"/>
    <w:rsid w:val="00D151D8"/>
    <w:rsid w:val="00D203A1"/>
    <w:rsid w:val="00D21159"/>
    <w:rsid w:val="00D219B1"/>
    <w:rsid w:val="00D24BFB"/>
    <w:rsid w:val="00D2693E"/>
    <w:rsid w:val="00D26E15"/>
    <w:rsid w:val="00D26E2F"/>
    <w:rsid w:val="00D30EAE"/>
    <w:rsid w:val="00D331C8"/>
    <w:rsid w:val="00D344FE"/>
    <w:rsid w:val="00D3615A"/>
    <w:rsid w:val="00D4045D"/>
    <w:rsid w:val="00D419B2"/>
    <w:rsid w:val="00D42742"/>
    <w:rsid w:val="00D437C3"/>
    <w:rsid w:val="00D4430C"/>
    <w:rsid w:val="00D44571"/>
    <w:rsid w:val="00D44D9B"/>
    <w:rsid w:val="00D459B7"/>
    <w:rsid w:val="00D45B33"/>
    <w:rsid w:val="00D56B10"/>
    <w:rsid w:val="00D56FAD"/>
    <w:rsid w:val="00D56FB3"/>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25D"/>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D0983"/>
    <w:rsid w:val="00DD2ED6"/>
    <w:rsid w:val="00DD3E5E"/>
    <w:rsid w:val="00DD4FBA"/>
    <w:rsid w:val="00DD6A43"/>
    <w:rsid w:val="00DE0C70"/>
    <w:rsid w:val="00DE3390"/>
    <w:rsid w:val="00DE5195"/>
    <w:rsid w:val="00DE6763"/>
    <w:rsid w:val="00DF0BB3"/>
    <w:rsid w:val="00DF232C"/>
    <w:rsid w:val="00DF25DE"/>
    <w:rsid w:val="00DF26E9"/>
    <w:rsid w:val="00DF59F7"/>
    <w:rsid w:val="00DF618C"/>
    <w:rsid w:val="00DF6954"/>
    <w:rsid w:val="00DF7896"/>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1025"/>
    <w:rsid w:val="00E626CC"/>
    <w:rsid w:val="00E6506B"/>
    <w:rsid w:val="00E66587"/>
    <w:rsid w:val="00E703DE"/>
    <w:rsid w:val="00E706A0"/>
    <w:rsid w:val="00E773B0"/>
    <w:rsid w:val="00E82488"/>
    <w:rsid w:val="00E83135"/>
    <w:rsid w:val="00E83988"/>
    <w:rsid w:val="00E84EFE"/>
    <w:rsid w:val="00E8716A"/>
    <w:rsid w:val="00E9185C"/>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7F1A"/>
    <w:rsid w:val="00EC7FBD"/>
    <w:rsid w:val="00ED1BF6"/>
    <w:rsid w:val="00ED257E"/>
    <w:rsid w:val="00ED2D47"/>
    <w:rsid w:val="00ED4626"/>
    <w:rsid w:val="00ED5D78"/>
    <w:rsid w:val="00EE00F4"/>
    <w:rsid w:val="00EE1140"/>
    <w:rsid w:val="00EE3926"/>
    <w:rsid w:val="00EF0017"/>
    <w:rsid w:val="00EF048E"/>
    <w:rsid w:val="00EF190F"/>
    <w:rsid w:val="00EF19B4"/>
    <w:rsid w:val="00EF33C0"/>
    <w:rsid w:val="00EF3D99"/>
    <w:rsid w:val="00EF4C18"/>
    <w:rsid w:val="00EF5366"/>
    <w:rsid w:val="00EF53AE"/>
    <w:rsid w:val="00EF5DF2"/>
    <w:rsid w:val="00EF5F35"/>
    <w:rsid w:val="00EF6F57"/>
    <w:rsid w:val="00EF7CF5"/>
    <w:rsid w:val="00F01FEB"/>
    <w:rsid w:val="00F056F4"/>
    <w:rsid w:val="00F05AB4"/>
    <w:rsid w:val="00F06C08"/>
    <w:rsid w:val="00F07347"/>
    <w:rsid w:val="00F10E0F"/>
    <w:rsid w:val="00F11FA1"/>
    <w:rsid w:val="00F14DF3"/>
    <w:rsid w:val="00F204B5"/>
    <w:rsid w:val="00F22384"/>
    <w:rsid w:val="00F23A32"/>
    <w:rsid w:val="00F25348"/>
    <w:rsid w:val="00F26CBC"/>
    <w:rsid w:val="00F27FC4"/>
    <w:rsid w:val="00F302C7"/>
    <w:rsid w:val="00F31E6A"/>
    <w:rsid w:val="00F3572C"/>
    <w:rsid w:val="00F371AF"/>
    <w:rsid w:val="00F40892"/>
    <w:rsid w:val="00F41A37"/>
    <w:rsid w:val="00F4261B"/>
    <w:rsid w:val="00F43789"/>
    <w:rsid w:val="00F45272"/>
    <w:rsid w:val="00F473C2"/>
    <w:rsid w:val="00F56F14"/>
    <w:rsid w:val="00F62790"/>
    <w:rsid w:val="00F62BB8"/>
    <w:rsid w:val="00F65F81"/>
    <w:rsid w:val="00F66FD0"/>
    <w:rsid w:val="00F67465"/>
    <w:rsid w:val="00F67DA1"/>
    <w:rsid w:val="00F7216E"/>
    <w:rsid w:val="00F74353"/>
    <w:rsid w:val="00F75850"/>
    <w:rsid w:val="00F776B9"/>
    <w:rsid w:val="00F77AD4"/>
    <w:rsid w:val="00F81001"/>
    <w:rsid w:val="00F8434F"/>
    <w:rsid w:val="00F862F8"/>
    <w:rsid w:val="00F86C66"/>
    <w:rsid w:val="00F9038C"/>
    <w:rsid w:val="00F92044"/>
    <w:rsid w:val="00F92FAD"/>
    <w:rsid w:val="00F93DE8"/>
    <w:rsid w:val="00F949F0"/>
    <w:rsid w:val="00F97A71"/>
    <w:rsid w:val="00FA0738"/>
    <w:rsid w:val="00FA2E64"/>
    <w:rsid w:val="00FA300B"/>
    <w:rsid w:val="00FA404C"/>
    <w:rsid w:val="00FA415D"/>
    <w:rsid w:val="00FA4293"/>
    <w:rsid w:val="00FA71A7"/>
    <w:rsid w:val="00FA7242"/>
    <w:rsid w:val="00FB0892"/>
    <w:rsid w:val="00FB1F91"/>
    <w:rsid w:val="00FB29A7"/>
    <w:rsid w:val="00FB30C0"/>
    <w:rsid w:val="00FB4E2F"/>
    <w:rsid w:val="00FB5B17"/>
    <w:rsid w:val="00FB5CEF"/>
    <w:rsid w:val="00FB75CE"/>
    <w:rsid w:val="00FD2746"/>
    <w:rsid w:val="00FE1B3A"/>
    <w:rsid w:val="00FE3859"/>
    <w:rsid w:val="00FE48E5"/>
    <w:rsid w:val="00FE684C"/>
    <w:rsid w:val="00FE719E"/>
    <w:rsid w:val="00FF020B"/>
    <w:rsid w:val="00FF13FB"/>
    <w:rsid w:val="00FF323F"/>
    <w:rsid w:val="00FF543C"/>
    <w:rsid w:val="00FF55C6"/>
    <w:rsid w:val="00FF7A4D"/>
    <w:rsid w:val="00FF7B14"/>
    <w:rsid w:val="1AD70146"/>
    <w:rsid w:val="48A34A9E"/>
    <w:rsid w:val="61B3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iPriority="39" w:name="toc 8"/>
    <w:lsdException w:qFormat="1"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nhideWhenUsed="0" w:uiPriority="99" w:semiHidden="0" w:name="Body Text Indent 2"/>
    <w:lsdException w:qFormat="1"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1"/>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2"/>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3"/>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4"/>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8">
    <w:name w:val="toc 7"/>
    <w:basedOn w:val="1"/>
    <w:next w:val="1"/>
    <w:semiHidden/>
    <w:unhideWhenUsed/>
    <w:uiPriority w:val="39"/>
    <w:pPr>
      <w:ind w:left="1260"/>
      <w:jc w:val="left"/>
    </w:pPr>
    <w:rPr>
      <w:sz w:val="20"/>
      <w:szCs w:val="20"/>
    </w:rPr>
  </w:style>
  <w:style w:type="paragraph" w:styleId="9">
    <w:name w:val="Normal Indent"/>
    <w:basedOn w:val="1"/>
    <w:link w:val="123"/>
    <w:qFormat/>
    <w:uiPriority w:val="0"/>
    <w:pPr>
      <w:ind w:firstLine="420"/>
    </w:pPr>
    <w:rPr>
      <w:rFonts w:ascii="Times New Roman" w:hAnsi="Times New Roman" w:eastAsia="宋体" w:cs="Times New Roman"/>
      <w:szCs w:val="20"/>
    </w:rPr>
  </w:style>
  <w:style w:type="paragraph" w:styleId="10">
    <w:name w:val="Document Map"/>
    <w:basedOn w:val="1"/>
    <w:link w:val="105"/>
    <w:semiHidden/>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2"/>
    <w:semiHidden/>
    <w:unhideWhenUsed/>
    <w:uiPriority w:val="99"/>
    <w:pPr>
      <w:jc w:val="left"/>
    </w:pPr>
  </w:style>
  <w:style w:type="paragraph" w:styleId="12">
    <w:name w:val="Body Text"/>
    <w:basedOn w:val="1"/>
    <w:link w:val="49"/>
    <w:uiPriority w:val="99"/>
    <w:rPr>
      <w:rFonts w:ascii="华文中宋" w:hAnsi="Times New Roman" w:eastAsia="华文中宋" w:cs="Times New Roman"/>
      <w:bCs/>
      <w:kern w:val="0"/>
      <w:sz w:val="28"/>
      <w:szCs w:val="20"/>
    </w:rPr>
  </w:style>
  <w:style w:type="paragraph" w:styleId="13">
    <w:name w:val="Body Text Indent"/>
    <w:basedOn w:val="1"/>
    <w:link w:val="46"/>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5"/>
    <w:qFormat/>
    <w:uiPriority w:val="0"/>
    <w:rPr>
      <w:rFonts w:ascii="Times New Roman" w:hAnsi="Times New Roman" w:eastAsia="黑体" w:cs="Times New Roman"/>
      <w:b/>
      <w:kern w:val="0"/>
      <w:sz w:val="36"/>
      <w:szCs w:val="20"/>
    </w:rPr>
  </w:style>
  <w:style w:type="paragraph" w:styleId="18">
    <w:name w:val="Body Text Indent 2"/>
    <w:basedOn w:val="1"/>
    <w:link w:val="50"/>
    <w:uiPriority w:val="99"/>
    <w:pPr>
      <w:ind w:left="900"/>
    </w:pPr>
    <w:rPr>
      <w:rFonts w:ascii="楷体_GB2312" w:hAnsi="Times New Roman" w:eastAsia="楷体_GB2312" w:cs="Times New Roman"/>
      <w:b/>
      <w:kern w:val="0"/>
      <w:sz w:val="28"/>
      <w:szCs w:val="20"/>
    </w:rPr>
  </w:style>
  <w:style w:type="paragraph" w:styleId="19">
    <w:name w:val="Balloon Text"/>
    <w:basedOn w:val="1"/>
    <w:link w:val="111"/>
    <w:semiHidden/>
    <w:unhideWhenUsed/>
    <w:uiPriority w:val="99"/>
    <w:rPr>
      <w:rFonts w:ascii="Times New Roman" w:hAnsi="Times New Roman" w:eastAsia="宋体" w:cs="Times New Roman"/>
      <w:sz w:val="18"/>
      <w:szCs w:val="18"/>
    </w:rPr>
  </w:style>
  <w:style w:type="paragraph" w:styleId="20">
    <w:name w:val="footer"/>
    <w:basedOn w:val="1"/>
    <w:link w:val="4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uiPriority w:val="39"/>
    <w:pPr>
      <w:ind w:left="630"/>
      <w:jc w:val="left"/>
    </w:pPr>
    <w:rPr>
      <w:sz w:val="20"/>
      <w:szCs w:val="20"/>
    </w:rPr>
  </w:style>
  <w:style w:type="paragraph" w:styleId="24">
    <w:name w:val="toc 6"/>
    <w:basedOn w:val="1"/>
    <w:next w:val="1"/>
    <w:semiHidden/>
    <w:unhideWhenUsed/>
    <w:uiPriority w:val="39"/>
    <w:pPr>
      <w:ind w:left="1050"/>
      <w:jc w:val="left"/>
    </w:pPr>
    <w:rPr>
      <w:sz w:val="20"/>
      <w:szCs w:val="20"/>
    </w:rPr>
  </w:style>
  <w:style w:type="paragraph" w:styleId="25">
    <w:name w:val="Body Text Indent 3"/>
    <w:basedOn w:val="1"/>
    <w:link w:val="51"/>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6"/>
    <w:qFormat/>
    <w:uiPriority w:val="99"/>
    <w:pPr>
      <w:spacing w:after="120" w:line="480" w:lineRule="auto"/>
    </w:pPr>
    <w:rPr>
      <w:rFonts w:ascii="Times New Roman" w:hAnsi="Times New Roman" w:eastAsia="宋体" w:cs="Times New Roman"/>
      <w:kern w:val="0"/>
      <w:sz w:val="20"/>
      <w:szCs w:val="20"/>
    </w:rPr>
  </w:style>
  <w:style w:type="paragraph" w:styleId="29">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1"/>
    <w:next w:val="11"/>
    <w:link w:val="113"/>
    <w:semiHidden/>
    <w:unhideWhenUsed/>
    <w:qFormat/>
    <w:uiPriority w:val="99"/>
    <w:rPr>
      <w:b/>
      <w:bCs/>
    </w:rPr>
  </w:style>
  <w:style w:type="table" w:styleId="32">
    <w:name w:val="Table Grid"/>
    <w:basedOn w:val="3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99"/>
    <w:rPr>
      <w:rFonts w:cs="Times New Roman"/>
      <w:b/>
      <w:bCs/>
    </w:rPr>
  </w:style>
  <w:style w:type="character" w:styleId="35">
    <w:name w:val="page number"/>
    <w:qFormat/>
    <w:uiPriority w:val="99"/>
    <w:rPr>
      <w:rFonts w:cs="Times New Roman"/>
    </w:rPr>
  </w:style>
  <w:style w:type="character" w:styleId="36">
    <w:name w:val="FollowedHyperlink"/>
    <w:semiHidden/>
    <w:unhideWhenUsed/>
    <w:uiPriority w:val="99"/>
    <w:rPr>
      <w:color w:val="800080"/>
      <w:u w:val="single"/>
    </w:rPr>
  </w:style>
  <w:style w:type="character" w:styleId="37">
    <w:name w:val="HTML Typewriter"/>
    <w:uiPriority w:val="99"/>
    <w:rPr>
      <w:rFonts w:ascii="宋体" w:hAnsi="宋体" w:eastAsia="宋体" w:cs="宋体"/>
      <w:sz w:val="24"/>
      <w:szCs w:val="24"/>
    </w:rPr>
  </w:style>
  <w:style w:type="character" w:styleId="38">
    <w:name w:val="Hyperlink"/>
    <w:uiPriority w:val="99"/>
    <w:rPr>
      <w:rFonts w:cs="Times New Roman"/>
      <w:color w:val="auto"/>
      <w:u w:val="none"/>
    </w:rPr>
  </w:style>
  <w:style w:type="character" w:styleId="39">
    <w:name w:val="annotation reference"/>
    <w:basedOn w:val="33"/>
    <w:semiHidden/>
    <w:unhideWhenUsed/>
    <w:uiPriority w:val="99"/>
    <w:rPr>
      <w:sz w:val="21"/>
      <w:szCs w:val="21"/>
    </w:rPr>
  </w:style>
  <w:style w:type="character" w:customStyle="1" w:styleId="40">
    <w:name w:val="标题 1 Char"/>
    <w:basedOn w:val="33"/>
    <w:link w:val="2"/>
    <w:qFormat/>
    <w:uiPriority w:val="99"/>
    <w:rPr>
      <w:rFonts w:ascii="楷体_GB2312" w:hAnsi="Times New Roman" w:eastAsia="楷体_GB2312" w:cs="Times New Roman"/>
      <w:b/>
      <w:kern w:val="0"/>
      <w:sz w:val="28"/>
      <w:szCs w:val="20"/>
    </w:rPr>
  </w:style>
  <w:style w:type="character" w:customStyle="1" w:styleId="41">
    <w:name w:val="标题 2 Char"/>
    <w:basedOn w:val="33"/>
    <w:link w:val="3"/>
    <w:qFormat/>
    <w:uiPriority w:val="99"/>
    <w:rPr>
      <w:rFonts w:ascii="楷体_GB2312" w:hAnsi="Times New Roman" w:eastAsia="楷体_GB2312" w:cs="Times New Roman"/>
      <w:b/>
      <w:bCs/>
      <w:kern w:val="0"/>
      <w:sz w:val="18"/>
      <w:szCs w:val="20"/>
    </w:rPr>
  </w:style>
  <w:style w:type="character" w:customStyle="1" w:styleId="42">
    <w:name w:val="标题 3 Char"/>
    <w:basedOn w:val="33"/>
    <w:link w:val="4"/>
    <w:qFormat/>
    <w:uiPriority w:val="99"/>
    <w:rPr>
      <w:rFonts w:ascii="Times New Roman" w:hAnsi="Times New Roman" w:eastAsia="楷体_GB2312" w:cs="Times New Roman"/>
      <w:b/>
      <w:bCs/>
      <w:kern w:val="0"/>
      <w:sz w:val="15"/>
      <w:szCs w:val="20"/>
    </w:rPr>
  </w:style>
  <w:style w:type="character" w:customStyle="1" w:styleId="43">
    <w:name w:val="标题 4 Char"/>
    <w:basedOn w:val="33"/>
    <w:link w:val="5"/>
    <w:qFormat/>
    <w:uiPriority w:val="99"/>
    <w:rPr>
      <w:rFonts w:ascii="Times New Roman" w:hAnsi="Times New Roman" w:eastAsia="楷体_GB2312" w:cs="Times New Roman"/>
      <w:b/>
      <w:bCs/>
      <w:kern w:val="0"/>
      <w:sz w:val="13"/>
      <w:szCs w:val="20"/>
    </w:rPr>
  </w:style>
  <w:style w:type="character" w:customStyle="1" w:styleId="44">
    <w:name w:val="标题 5 Char"/>
    <w:basedOn w:val="33"/>
    <w:link w:val="6"/>
    <w:uiPriority w:val="99"/>
    <w:rPr>
      <w:rFonts w:ascii="楷体_GB2312" w:hAnsi="Times New Roman" w:eastAsia="楷体_GB2312" w:cs="Times New Roman"/>
      <w:bCs/>
      <w:sz w:val="28"/>
    </w:rPr>
  </w:style>
  <w:style w:type="character" w:customStyle="1" w:styleId="45">
    <w:name w:val="日期 Char"/>
    <w:basedOn w:val="33"/>
    <w:link w:val="17"/>
    <w:qFormat/>
    <w:uiPriority w:val="99"/>
    <w:rPr>
      <w:rFonts w:ascii="Times New Roman" w:hAnsi="Times New Roman" w:eastAsia="黑体" w:cs="Times New Roman"/>
      <w:b/>
      <w:kern w:val="0"/>
      <w:sz w:val="36"/>
      <w:szCs w:val="20"/>
    </w:rPr>
  </w:style>
  <w:style w:type="character" w:customStyle="1" w:styleId="46">
    <w:name w:val="正文文本缩进 Char"/>
    <w:basedOn w:val="33"/>
    <w:link w:val="13"/>
    <w:qFormat/>
    <w:uiPriority w:val="99"/>
    <w:rPr>
      <w:rFonts w:ascii="Times New Roman" w:hAnsi="Times New Roman" w:eastAsia="宋体" w:cs="Times New Roman"/>
      <w:b/>
      <w:kern w:val="0"/>
      <w:sz w:val="30"/>
      <w:szCs w:val="20"/>
    </w:rPr>
  </w:style>
  <w:style w:type="character" w:customStyle="1" w:styleId="47">
    <w:name w:val="页脚 Char"/>
    <w:basedOn w:val="33"/>
    <w:link w:val="20"/>
    <w:qFormat/>
    <w:uiPriority w:val="99"/>
    <w:rPr>
      <w:rFonts w:ascii="Times New Roman" w:hAnsi="Times New Roman" w:eastAsia="宋体" w:cs="Times New Roman"/>
      <w:kern w:val="0"/>
      <w:sz w:val="18"/>
      <w:szCs w:val="20"/>
    </w:rPr>
  </w:style>
  <w:style w:type="character" w:customStyle="1" w:styleId="48">
    <w:name w:val="页眉 Char"/>
    <w:basedOn w:val="33"/>
    <w:link w:val="21"/>
    <w:qFormat/>
    <w:uiPriority w:val="99"/>
    <w:rPr>
      <w:rFonts w:ascii="Times New Roman" w:hAnsi="Times New Roman" w:eastAsia="宋体" w:cs="Times New Roman"/>
      <w:kern w:val="0"/>
      <w:sz w:val="18"/>
      <w:szCs w:val="20"/>
    </w:rPr>
  </w:style>
  <w:style w:type="character" w:customStyle="1" w:styleId="49">
    <w:name w:val="正文文本 Char"/>
    <w:basedOn w:val="33"/>
    <w:link w:val="12"/>
    <w:qFormat/>
    <w:uiPriority w:val="99"/>
    <w:rPr>
      <w:rFonts w:ascii="华文中宋" w:hAnsi="Times New Roman" w:eastAsia="华文中宋" w:cs="Times New Roman"/>
      <w:bCs/>
      <w:kern w:val="0"/>
      <w:sz w:val="28"/>
      <w:szCs w:val="20"/>
    </w:rPr>
  </w:style>
  <w:style w:type="character" w:customStyle="1" w:styleId="50">
    <w:name w:val="正文文本缩进 2 Char"/>
    <w:basedOn w:val="33"/>
    <w:link w:val="18"/>
    <w:qFormat/>
    <w:uiPriority w:val="99"/>
    <w:rPr>
      <w:rFonts w:ascii="楷体_GB2312" w:hAnsi="Times New Roman" w:eastAsia="楷体_GB2312" w:cs="Times New Roman"/>
      <w:b/>
      <w:kern w:val="0"/>
      <w:sz w:val="28"/>
      <w:szCs w:val="20"/>
    </w:rPr>
  </w:style>
  <w:style w:type="character" w:customStyle="1" w:styleId="51">
    <w:name w:val="正文文本缩进 3 Char"/>
    <w:basedOn w:val="33"/>
    <w:link w:val="25"/>
    <w:uiPriority w:val="99"/>
    <w:rPr>
      <w:rFonts w:ascii="Times New Roman" w:hAnsi="Times New Roman" w:eastAsia="宋体" w:cs="Times New Roman"/>
      <w:kern w:val="0"/>
      <w:sz w:val="20"/>
      <w:szCs w:val="20"/>
    </w:rPr>
  </w:style>
  <w:style w:type="paragraph" w:customStyle="1" w:styleId="52">
    <w:name w:val="font5"/>
    <w:basedOn w:val="1"/>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3">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4">
    <w:name w:val="font7"/>
    <w:basedOn w:val="1"/>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5">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6">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7">
    <w:name w:val="xl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1">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3">
    <w:name w:val="xl3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6">
    <w:name w:val="xl3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0">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3">
    <w:name w:val="xl4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6">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7">
    <w:name w:val="xl44"/>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0">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8"/>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2">
    <w:name w:val="xl49"/>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1"/>
    <w:basedOn w:val="1"/>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5">
    <w:name w:val="xl52"/>
    <w:basedOn w:val="1"/>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3"/>
    <w:basedOn w:val="1"/>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4"/>
    <w:basedOn w:val="1"/>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8">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9">
    <w:name w:val="xl56"/>
    <w:basedOn w:val="1"/>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9"/>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7">
    <w:name w:val="font10"/>
    <w:basedOn w:val="1"/>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8">
    <w:name w:val="font11"/>
    <w:basedOn w:val="1"/>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9">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0">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1">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2">
    <w:name w:val="case31"/>
    <w:qFormat/>
    <w:uiPriority w:val="99"/>
    <w:rPr>
      <w:rFonts w:cs="Times New Roman"/>
      <w:spacing w:val="390"/>
      <w:sz w:val="21"/>
      <w:szCs w:val="21"/>
    </w:rPr>
  </w:style>
  <w:style w:type="paragraph" w:customStyle="1" w:styleId="103">
    <w:name w:val="普通文字"/>
    <w:basedOn w:val="1"/>
    <w:next w:val="1"/>
    <w:uiPriority w:val="99"/>
    <w:rPr>
      <w:rFonts w:ascii="宋体" w:hAnsi="Times New Roman" w:eastAsia="宋体" w:cs="Times New Roman"/>
      <w:kern w:val="0"/>
      <w:sz w:val="24"/>
      <w:szCs w:val="20"/>
      <w:u w:color="000000"/>
    </w:rPr>
  </w:style>
  <w:style w:type="paragraph" w:customStyle="1" w:styleId="104">
    <w:name w:val="默认段落字体 Para Char"/>
    <w:basedOn w:val="1"/>
    <w:uiPriority w:val="99"/>
    <w:pPr>
      <w:tabs>
        <w:tab w:val="left" w:pos="552"/>
      </w:tabs>
      <w:ind w:left="552" w:hanging="420"/>
    </w:pPr>
    <w:rPr>
      <w:rFonts w:ascii="Times New Roman" w:hAnsi="Times New Roman" w:eastAsia="宋体" w:cs="Times New Roman"/>
      <w:sz w:val="24"/>
      <w:szCs w:val="24"/>
    </w:rPr>
  </w:style>
  <w:style w:type="character" w:customStyle="1" w:styleId="105">
    <w:name w:val="文档结构图 Char"/>
    <w:basedOn w:val="33"/>
    <w:link w:val="10"/>
    <w:semiHidden/>
    <w:qFormat/>
    <w:uiPriority w:val="99"/>
    <w:rPr>
      <w:rFonts w:ascii="Times New Roman" w:hAnsi="Times New Roman" w:eastAsia="宋体" w:cs="Times New Roman"/>
      <w:kern w:val="0"/>
      <w:sz w:val="20"/>
      <w:szCs w:val="20"/>
      <w:shd w:val="clear" w:color="auto" w:fill="000080"/>
    </w:rPr>
  </w:style>
  <w:style w:type="character" w:customStyle="1" w:styleId="106">
    <w:name w:val="正文文本 2 Char"/>
    <w:basedOn w:val="33"/>
    <w:link w:val="28"/>
    <w:qFormat/>
    <w:uiPriority w:val="99"/>
    <w:rPr>
      <w:rFonts w:ascii="Times New Roman" w:hAnsi="Times New Roman" w:eastAsia="宋体" w:cs="Times New Roman"/>
      <w:kern w:val="0"/>
      <w:sz w:val="20"/>
      <w:szCs w:val="20"/>
    </w:rPr>
  </w:style>
  <w:style w:type="paragraph" w:customStyle="1" w:styleId="107">
    <w:name w:val="Char Char Char Char"/>
    <w:basedOn w:val="10"/>
    <w:qFormat/>
    <w:uiPriority w:val="99"/>
    <w:pPr>
      <w:adjustRightInd w:val="0"/>
      <w:snapToGrid w:val="0"/>
      <w:spacing w:line="360" w:lineRule="auto"/>
    </w:pPr>
    <w:rPr>
      <w:rFonts w:ascii="Tahoma" w:hAnsi="Tahoma"/>
      <w:sz w:val="24"/>
      <w:szCs w:val="24"/>
    </w:rPr>
  </w:style>
  <w:style w:type="paragraph" w:customStyle="1" w:styleId="108">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9">
    <w:name w:val="List Paragraph"/>
    <w:basedOn w:val="1"/>
    <w:qFormat/>
    <w:uiPriority w:val="99"/>
    <w:pPr>
      <w:ind w:firstLine="420" w:firstLineChars="200"/>
    </w:pPr>
    <w:rPr>
      <w:rFonts w:ascii="Times New Roman" w:hAnsi="Times New Roman" w:eastAsia="宋体" w:cs="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character" w:customStyle="1" w:styleId="111">
    <w:name w:val="批注框文本 Char"/>
    <w:basedOn w:val="33"/>
    <w:link w:val="19"/>
    <w:semiHidden/>
    <w:qFormat/>
    <w:uiPriority w:val="99"/>
    <w:rPr>
      <w:rFonts w:ascii="Times New Roman" w:hAnsi="Times New Roman" w:eastAsia="宋体" w:cs="Times New Roman"/>
      <w:sz w:val="18"/>
      <w:szCs w:val="18"/>
    </w:rPr>
  </w:style>
  <w:style w:type="character" w:customStyle="1" w:styleId="112">
    <w:name w:val="批注文字 Char"/>
    <w:basedOn w:val="33"/>
    <w:link w:val="11"/>
    <w:semiHidden/>
    <w:qFormat/>
    <w:uiPriority w:val="99"/>
  </w:style>
  <w:style w:type="character" w:customStyle="1" w:styleId="113">
    <w:name w:val="批注主题 Char"/>
    <w:basedOn w:val="112"/>
    <w:link w:val="30"/>
    <w:semiHidden/>
    <w:qFormat/>
    <w:uiPriority w:val="99"/>
    <w:rPr>
      <w:b/>
      <w:bCs/>
    </w:rPr>
  </w:style>
  <w:style w:type="paragraph" w:customStyle="1" w:styleId="114">
    <w:name w:val="列表段落1"/>
    <w:basedOn w:val="1"/>
    <w:qFormat/>
    <w:uiPriority w:val="99"/>
    <w:pPr>
      <w:ind w:firstLine="420" w:firstLineChars="200"/>
    </w:pPr>
    <w:rPr>
      <w:rFonts w:ascii="Times New Roman" w:hAnsi="Times New Roman" w:eastAsia="宋体" w:cs="Times New Roman"/>
      <w:szCs w:val="21"/>
    </w:rPr>
  </w:style>
  <w:style w:type="character" w:customStyle="1" w:styleId="115">
    <w:name w:val="标题 6 Char"/>
    <w:basedOn w:val="33"/>
    <w:link w:val="7"/>
    <w:qFormat/>
    <w:uiPriority w:val="9"/>
    <w:rPr>
      <w:rFonts w:asciiTheme="majorHAnsi" w:hAnsiTheme="majorHAnsi" w:eastAsiaTheme="majorEastAsia" w:cstheme="majorBidi"/>
      <w:b/>
      <w:bCs/>
      <w:kern w:val="2"/>
      <w:sz w:val="24"/>
      <w:szCs w:val="24"/>
    </w:rPr>
  </w:style>
  <w:style w:type="paragraph" w:customStyle="1" w:styleId="116">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66091" w:themeColor="accent1" w:themeShade="BF"/>
      <w:szCs w:val="28"/>
    </w:rPr>
  </w:style>
  <w:style w:type="paragraph" w:customStyle="1" w:styleId="1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8">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19">
    <w:name w:val="未处理的提及1"/>
    <w:basedOn w:val="33"/>
    <w:semiHidden/>
    <w:unhideWhenUsed/>
    <w:qFormat/>
    <w:uiPriority w:val="99"/>
    <w:rPr>
      <w:color w:val="605E5C"/>
      <w:shd w:val="clear" w:color="auto" w:fill="E1DFDD"/>
    </w:rPr>
  </w:style>
  <w:style w:type="paragraph" w:customStyle="1" w:styleId="120">
    <w:name w:val="标题2"/>
    <w:basedOn w:val="3"/>
    <w:next w:val="1"/>
    <w:qFormat/>
    <w:uiPriority w:val="0"/>
    <w:pPr>
      <w:spacing w:line="360" w:lineRule="auto"/>
    </w:pPr>
    <w:rPr>
      <w:rFonts w:ascii="黑体" w:hAnsi="黑体" w:eastAsia="黑体"/>
      <w:b w:val="0"/>
      <w:sz w:val="32"/>
      <w:szCs w:val="32"/>
    </w:rPr>
  </w:style>
  <w:style w:type="paragraph" w:customStyle="1" w:styleId="121">
    <w:name w:val="标题1"/>
    <w:basedOn w:val="2"/>
    <w:next w:val="1"/>
    <w:qFormat/>
    <w:uiPriority w:val="0"/>
    <w:pPr>
      <w:spacing w:line="360" w:lineRule="auto"/>
    </w:pPr>
    <w:rPr>
      <w:rFonts w:ascii="黑体" w:hAnsi="黑体" w:eastAsia="黑体"/>
      <w:b w:val="0"/>
      <w:bCs/>
      <w:szCs w:val="28"/>
    </w:rPr>
  </w:style>
  <w:style w:type="paragraph" w:customStyle="1" w:styleId="122">
    <w:name w:val="标题1-1"/>
    <w:basedOn w:val="2"/>
    <w:next w:val="1"/>
    <w:qFormat/>
    <w:uiPriority w:val="0"/>
    <w:pPr>
      <w:jc w:val="left"/>
    </w:pPr>
    <w:rPr>
      <w:rFonts w:ascii="黑体" w:hAnsi="宋体" w:eastAsia="黑体"/>
      <w:b w:val="0"/>
      <w:bCs/>
      <w:color w:val="000000" w:themeColor="text1"/>
      <w:sz w:val="24"/>
      <w:szCs w:val="24"/>
    </w:rPr>
  </w:style>
  <w:style w:type="character" w:customStyle="1" w:styleId="123">
    <w:name w:val="正文缩进 Char"/>
    <w:link w:val="9"/>
    <w:qFormat/>
    <w:uiPriority w:val="0"/>
    <w:rPr>
      <w:rFonts w:ascii="Times New Roman" w:hAnsi="Times New Roman" w:eastAsia="宋体" w:cs="Times New Roman"/>
      <w:kern w:val="2"/>
      <w:sz w:val="21"/>
    </w:rPr>
  </w:style>
  <w:style w:type="table" w:customStyle="1" w:styleId="124">
    <w:name w:val="网格型浅色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5">
    <w:name w:val="正文缩进1"/>
    <w:basedOn w:val="1"/>
    <w:qFormat/>
    <w:uiPriority w:val="0"/>
    <w:pPr>
      <w:autoSpaceDE w:val="0"/>
      <w:autoSpaceDN w:val="0"/>
      <w:adjustRightInd w:val="0"/>
      <w:ind w:firstLine="420"/>
      <w:jc w:val="left"/>
    </w:pPr>
    <w:rPr>
      <w:rFonts w:ascii="宋体"/>
      <w:sz w:val="24"/>
    </w:rPr>
  </w:style>
  <w:style w:type="paragraph" w:customStyle="1" w:styleId="126">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7">
    <w:name w:val="网格型1"/>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Grid Table Light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9">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0">
    <w:name w:val="日期 字符1"/>
    <w:qFormat/>
    <w:locked/>
    <w:uiPriority w:val="0"/>
    <w:rPr>
      <w:kern w:val="2"/>
      <w:sz w:val="24"/>
    </w:rPr>
  </w:style>
  <w:style w:type="paragraph" w:customStyle="1" w:styleId="13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2">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3">
    <w:name w:val="纯文本1"/>
    <w:basedOn w:val="1"/>
    <w:qFormat/>
    <w:uiPriority w:val="0"/>
    <w:rPr>
      <w:rFonts w:ascii="宋体" w:hAnsi="Courier New" w:eastAsia="宋体" w:cs="Times New Roman"/>
      <w:kern w:val="0"/>
      <w:sz w:val="20"/>
      <w:szCs w:val="20"/>
    </w:rPr>
  </w:style>
  <w:style w:type="paragraph" w:customStyle="1" w:styleId="134">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5CE12-C041-47CC-8296-7749DE508157}">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40</Pages>
  <Words>3033</Words>
  <Characters>17291</Characters>
  <Lines>144</Lines>
  <Paragraphs>40</Paragraphs>
  <TotalTime>386</TotalTime>
  <ScaleCrop>false</ScaleCrop>
  <LinksUpToDate>false</LinksUpToDate>
  <CharactersWithSpaces>20284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2020-11-17T01:25:00Z</dcterms:created>
  <dc:creator>黄炜</dc:creator>
  <cp:lastModifiedBy>中采-熊萍</cp:lastModifiedBy>
  <cp:lastPrinted>2020-11-09T11:25:00Z</cp:lastPrinted>
  <dcterms:modified xsi:type="dcterms:W3CDTF">2023-01-03T07:51:14Z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