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snapToGrid w:val="0"/>
        <w:spacing w:line="360" w:lineRule="auto"/>
        <w:jc w:val="center"/>
        <w:rPr>
          <w:rFonts w:ascii="黑体" w:hAnsi="黑体" w:eastAsia="黑体"/>
          <w:b/>
          <w:spacing w:val="170"/>
          <w:sz w:val="84"/>
          <w:szCs w:val="84"/>
        </w:rPr>
      </w:pPr>
      <w:r>
        <w:rPr>
          <w:rFonts w:hint="eastAsia" w:ascii="黑体" w:hAnsi="黑体" w:eastAsia="黑体" w:cs="黑体"/>
          <w:b/>
          <w:spacing w:val="170"/>
          <w:kern w:val="0"/>
          <w:sz w:val="84"/>
          <w:szCs w:val="84"/>
        </w:rPr>
        <w:t>采购</w:t>
      </w:r>
      <w:r>
        <w:rPr>
          <w:rFonts w:hint="eastAsia" w:ascii="黑体" w:hAnsi="黑体" w:eastAsia="黑体"/>
          <w:b/>
          <w:spacing w:val="170"/>
          <w:sz w:val="84"/>
          <w:szCs w:val="84"/>
        </w:rPr>
        <w:t>文件</w:t>
      </w:r>
    </w:p>
    <w:p>
      <w:pPr>
        <w:jc w:val="center"/>
        <w:rPr>
          <w:rFonts w:ascii="华文中宋" w:hAnsi="华文中宋" w:eastAsia="华文中宋"/>
          <w:bCs/>
          <w:color w:val="000000" w:themeColor="text1"/>
          <w:sz w:val="30"/>
        </w:rPr>
      </w:pPr>
      <w:r>
        <w:rPr>
          <w:rFonts w:hint="eastAsia" w:ascii="华文中宋" w:hAnsi="华文中宋" w:eastAsia="华文中宋"/>
          <w:bCs/>
          <w:color w:val="000000" w:themeColor="text1"/>
          <w:sz w:val="30"/>
        </w:rPr>
        <w:t>（服务类）</w:t>
      </w:r>
    </w:p>
    <w:p>
      <w:pPr>
        <w:rPr>
          <w:rFonts w:ascii="华文中宋" w:hAnsi="华文中宋" w:eastAsia="华文中宋"/>
          <w:bCs/>
          <w:color w:val="000000" w:themeColor="text1"/>
          <w:sz w:val="30"/>
        </w:rPr>
      </w:pPr>
    </w:p>
    <w:p>
      <w:pPr>
        <w:jc w:val="left"/>
        <w:rPr>
          <w:rFonts w:ascii="黑体" w:hAnsi="华文中宋" w:eastAsia="黑体"/>
          <w:bCs/>
          <w:color w:val="000000" w:themeColor="text1"/>
          <w:spacing w:val="20"/>
          <w:w w:val="90"/>
          <w:sz w:val="48"/>
          <w:szCs w:val="48"/>
        </w:rPr>
      </w:pPr>
    </w:p>
    <w:p>
      <w:pPr>
        <w:jc w:val="left"/>
        <w:rPr>
          <w:rFonts w:ascii="黑体" w:hAnsi="华文中宋" w:eastAsia="黑体"/>
          <w:bCs/>
          <w:color w:val="000000" w:themeColor="text1"/>
          <w:spacing w:val="20"/>
          <w:w w:val="90"/>
          <w:sz w:val="48"/>
          <w:szCs w:val="48"/>
        </w:rPr>
      </w:pPr>
    </w:p>
    <w:p>
      <w:pPr>
        <w:jc w:val="left"/>
        <w:rPr>
          <w:rFonts w:ascii="华文中宋" w:hAnsi="华文中宋" w:eastAsia="华文中宋"/>
          <w:bCs/>
          <w:color w:val="000000" w:themeColor="text1"/>
          <w:sz w:val="30"/>
        </w:rPr>
      </w:pPr>
    </w:p>
    <w:p>
      <w:pPr>
        <w:jc w:val="left"/>
        <w:rPr>
          <w:rFonts w:ascii="华文中宋" w:hAnsi="华文中宋" w:eastAsia="华文中宋"/>
          <w:bCs/>
          <w:color w:val="000000" w:themeColor="text1"/>
          <w:sz w:val="30"/>
        </w:rPr>
      </w:pPr>
    </w:p>
    <w:p>
      <w:pPr>
        <w:spacing w:line="360" w:lineRule="auto"/>
        <w:ind w:firstLine="560" w:firstLineChars="200"/>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采购项目编号：</w:t>
      </w:r>
      <w:r>
        <w:rPr>
          <w:rFonts w:ascii="黑体" w:hAnsi="华文中宋" w:eastAsia="黑体"/>
          <w:bCs/>
          <w:color w:val="000000" w:themeColor="text1"/>
          <w:sz w:val="28"/>
          <w:szCs w:val="30"/>
        </w:rPr>
        <w:t>JSRHJC202200</w:t>
      </w:r>
      <w:r>
        <w:rPr>
          <w:rFonts w:hint="eastAsia" w:ascii="黑体" w:hAnsi="华文中宋" w:eastAsia="黑体"/>
          <w:bCs/>
          <w:color w:val="000000" w:themeColor="text1"/>
          <w:sz w:val="28"/>
          <w:szCs w:val="30"/>
        </w:rPr>
        <w:t>2</w:t>
      </w:r>
    </w:p>
    <w:p>
      <w:pPr>
        <w:spacing w:line="360" w:lineRule="auto"/>
        <w:ind w:firstLine="560" w:firstLineChars="200"/>
        <w:jc w:val="left"/>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采购项目名称：2022年交通安全设施建设工程实体质量检测服务项目</w:t>
      </w:r>
    </w:p>
    <w:p>
      <w:pPr>
        <w:spacing w:line="360" w:lineRule="auto"/>
        <w:ind w:firstLine="560" w:firstLineChars="200"/>
        <w:jc w:val="left"/>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   购   人：常州市公路事业发展中心</w:t>
      </w:r>
    </w:p>
    <w:p>
      <w:pPr>
        <w:spacing w:line="360" w:lineRule="auto"/>
        <w:ind w:firstLine="560" w:firstLineChars="200"/>
        <w:jc w:val="left"/>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采购代理机构：江苏仁禾中衡工程咨询房地产估价有限公司</w:t>
      </w:r>
    </w:p>
    <w:p>
      <w:pPr>
        <w:rPr>
          <w:rFonts w:ascii="华文中宋" w:hAnsi="华文中宋" w:eastAsia="华文中宋"/>
          <w:bCs/>
          <w:color w:val="000000" w:themeColor="text1"/>
          <w:sz w:val="32"/>
        </w:rPr>
      </w:pPr>
    </w:p>
    <w:p>
      <w:pPr>
        <w:rPr>
          <w:rFonts w:ascii="华文中宋" w:hAnsi="华文中宋" w:eastAsia="华文中宋"/>
          <w:bCs/>
          <w:color w:val="000000" w:themeColor="text1"/>
          <w:sz w:val="30"/>
        </w:rPr>
      </w:pPr>
    </w:p>
    <w:p>
      <w:pPr>
        <w:rPr>
          <w:rFonts w:ascii="华文中宋" w:hAnsi="华文中宋" w:eastAsia="华文中宋"/>
          <w:bCs/>
          <w:color w:val="000000" w:themeColor="text1"/>
          <w:sz w:val="30"/>
        </w:rPr>
      </w:pPr>
    </w:p>
    <w:p>
      <w:pPr>
        <w:jc w:val="center"/>
        <w:rPr>
          <w:rFonts w:ascii="黑体" w:hAnsi="华文中宋" w:eastAsia="黑体"/>
          <w:bCs/>
          <w:color w:val="000000" w:themeColor="text1"/>
          <w:sz w:val="30"/>
          <w:szCs w:val="30"/>
        </w:rPr>
      </w:pPr>
      <w:r>
        <w:rPr>
          <w:rFonts w:hint="eastAsia" w:ascii="黑体" w:hAnsi="华文中宋" w:eastAsia="黑体"/>
          <w:bCs/>
          <w:color w:val="000000" w:themeColor="text1"/>
          <w:sz w:val="30"/>
          <w:szCs w:val="30"/>
        </w:rPr>
        <w:t>二○二二年一月</w:t>
      </w:r>
      <w:bookmarkStart w:id="0" w:name="报价方须知前附表"/>
      <w:bookmarkEnd w:id="0"/>
      <w:bookmarkStart w:id="1" w:name="_Toc55147045"/>
    </w:p>
    <w:p>
      <w:pPr>
        <w:rPr>
          <w:rFonts w:ascii="黑体" w:hAnsi="华文中宋" w:eastAsia="黑体"/>
          <w:bCs/>
          <w:color w:val="000000" w:themeColor="text1"/>
          <w:sz w:val="30"/>
          <w:szCs w:val="30"/>
        </w:rPr>
      </w:pPr>
    </w:p>
    <w:p>
      <w:pPr>
        <w:pStyle w:val="122"/>
      </w:pPr>
      <w:bookmarkStart w:id="2" w:name="_Toc92976583"/>
      <w:bookmarkStart w:id="3" w:name="_Toc92976614"/>
      <w:r>
        <w:rPr>
          <w:rFonts w:hint="eastAsia"/>
        </w:rPr>
        <w:t>供应商须知</w:t>
      </w:r>
      <w:bookmarkEnd w:id="2"/>
      <w:bookmarkEnd w:id="3"/>
    </w:p>
    <w:tbl>
      <w:tblPr>
        <w:tblStyle w:val="32"/>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z w:val="24"/>
              </w:rPr>
            </w:pPr>
            <w:r>
              <w:rPr>
                <w:rFonts w:hint="eastAsia" w:ascii="宋体" w:hAnsi="宋体" w:cs="宋体"/>
                <w:spacing w:val="2"/>
                <w:sz w:val="24"/>
                <w:lang w:val="zh-CN"/>
              </w:rPr>
              <w:t>采购项目名称：2022年交通安全设施建设工程实体质量检测服务项目</w:t>
            </w:r>
          </w:p>
          <w:p>
            <w:pPr>
              <w:snapToGrid w:val="0"/>
              <w:spacing w:line="26" w:lineRule="atLeast"/>
              <w:rPr>
                <w:rFonts w:ascii="宋体" w:hAnsi="宋体" w:cs="宋体"/>
                <w:b/>
                <w:bCs/>
                <w:spacing w:val="2"/>
                <w:sz w:val="24"/>
              </w:rPr>
            </w:pPr>
            <w:r>
              <w:rPr>
                <w:rFonts w:hint="eastAsia" w:ascii="宋体" w:hAnsi="宋体" w:cs="宋体"/>
                <w:spacing w:val="2"/>
                <w:sz w:val="24"/>
                <w:lang w:val="zh-CN"/>
              </w:rPr>
              <w:t>采购项目编号：</w:t>
            </w:r>
            <w:r>
              <w:rPr>
                <w:rFonts w:ascii="宋体" w:hAnsi="宋体" w:cs="宋体"/>
                <w:spacing w:val="2"/>
                <w:sz w:val="24"/>
                <w:lang w:val="zh-CN"/>
              </w:rPr>
              <w:t>JSRHJC202200</w:t>
            </w:r>
            <w:r>
              <w:rPr>
                <w:rFonts w:hint="eastAsia" w:ascii="宋体" w:hAnsi="宋体" w:cs="宋体"/>
                <w:spacing w:val="2"/>
                <w:sz w:val="24"/>
              </w:rPr>
              <w:t>2</w:t>
            </w:r>
          </w:p>
          <w:p>
            <w:pPr>
              <w:snapToGrid w:val="0"/>
              <w:spacing w:line="26" w:lineRule="atLeast"/>
              <w:rPr>
                <w:rFonts w:ascii="宋体" w:hAnsi="宋体" w:cs="宋体"/>
                <w:spacing w:val="2"/>
                <w:sz w:val="24"/>
              </w:rPr>
            </w:pPr>
            <w:r>
              <w:rPr>
                <w:rFonts w:hint="eastAsia" w:ascii="宋体" w:hAnsi="宋体" w:cs="宋体"/>
                <w:spacing w:val="2"/>
                <w:sz w:val="24"/>
                <w:lang w:val="zh-CN"/>
              </w:rPr>
              <w:t>合同履行期限：</w:t>
            </w:r>
            <w:r>
              <w:rPr>
                <w:rFonts w:hint="eastAsia" w:ascii="宋体" w:hAnsi="宋体" w:cs="宋体"/>
                <w:sz w:val="24"/>
                <w:szCs w:val="24"/>
              </w:rPr>
              <w:t>自合同签订之起至检测任务全部完成止。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ascii="宋体" w:hAnsi="宋体" w:cs="宋体"/>
                <w:spacing w:val="2"/>
                <w:sz w:val="24"/>
                <w:lang w:val="zh-CN"/>
              </w:rPr>
              <w:t>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cs="宋体" w:asciiTheme="minorEastAsia" w:hAnsiTheme="minorEastAsia"/>
                <w:sz w:val="24"/>
                <w:szCs w:val="24"/>
              </w:rPr>
              <w:t>现场踏勘：</w:t>
            </w:r>
            <w:r>
              <w:rPr>
                <w:rFonts w:hint="eastAsia" w:asciiTheme="minorEastAsia" w:hAnsiTheme="minorEastAsia"/>
                <w:sz w:val="24"/>
                <w:szCs w:val="24"/>
              </w:rPr>
              <w:t>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Cs/>
                <w:spacing w:val="2"/>
                <w:sz w:val="24"/>
                <w:lang w:val="zh-CN"/>
              </w:rPr>
            </w:pPr>
            <w:r>
              <w:rPr>
                <w:rFonts w:hint="eastAsia" w:ascii="宋体" w:hAnsi="宋体" w:cs="宋体"/>
                <w:spacing w:val="2"/>
                <w:sz w:val="24"/>
                <w:lang w:val="zh-CN"/>
              </w:rPr>
              <w:t>响应文件份数：</w:t>
            </w:r>
            <w:r>
              <w:rPr>
                <w:rFonts w:hint="eastAsia" w:ascii="宋体" w:hAnsi="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highlight w:val="none"/>
                <w:lang w:val="zh-CN"/>
              </w:rPr>
            </w:pPr>
            <w:r>
              <w:rPr>
                <w:rFonts w:hint="eastAsia" w:ascii="宋体" w:hAnsi="宋体" w:cs="宋体"/>
                <w:spacing w:val="2"/>
                <w:sz w:val="24"/>
                <w:highlight w:val="none"/>
                <w:lang w:val="zh-CN"/>
              </w:rPr>
              <w:t>响应文件接收时间：</w:t>
            </w:r>
            <w:r>
              <w:rPr>
                <w:rFonts w:ascii="宋体" w:hAnsi="宋体" w:eastAsia="宋体"/>
                <w:bCs/>
                <w:sz w:val="24"/>
                <w:szCs w:val="24"/>
                <w:highlight w:val="none"/>
                <w:u w:val="single"/>
              </w:rPr>
              <w:t>20</w:t>
            </w:r>
            <w:r>
              <w:rPr>
                <w:rFonts w:hint="eastAsia" w:ascii="宋体" w:hAnsi="宋体" w:eastAsia="宋体"/>
                <w:bCs/>
                <w:sz w:val="24"/>
                <w:szCs w:val="24"/>
                <w:highlight w:val="none"/>
                <w:u w:val="single"/>
              </w:rPr>
              <w:t>22</w:t>
            </w:r>
            <w:r>
              <w:rPr>
                <w:rFonts w:ascii="宋体" w:hAnsi="宋体" w:eastAsia="宋体"/>
                <w:bCs/>
                <w:sz w:val="24"/>
                <w:szCs w:val="24"/>
                <w:highlight w:val="none"/>
                <w:u w:val="single"/>
              </w:rPr>
              <w:t>年</w:t>
            </w:r>
            <w:r>
              <w:rPr>
                <w:rFonts w:hint="eastAsia" w:ascii="宋体" w:hAnsi="宋体" w:eastAsia="宋体"/>
                <w:bCs/>
                <w:sz w:val="24"/>
                <w:szCs w:val="24"/>
                <w:highlight w:val="none"/>
                <w:u w:val="single"/>
                <w:lang w:val="en-US" w:eastAsia="zh-CN"/>
              </w:rPr>
              <w:t>1</w:t>
            </w:r>
            <w:r>
              <w:rPr>
                <w:rFonts w:ascii="宋体" w:hAnsi="宋体" w:eastAsia="宋体"/>
                <w:bCs/>
                <w:sz w:val="24"/>
                <w:szCs w:val="24"/>
                <w:highlight w:val="none"/>
                <w:u w:val="single"/>
              </w:rPr>
              <w:t>月</w:t>
            </w:r>
            <w:r>
              <w:rPr>
                <w:rFonts w:hint="eastAsia" w:ascii="宋体" w:hAnsi="宋体" w:eastAsia="宋体"/>
                <w:bCs/>
                <w:sz w:val="24"/>
                <w:szCs w:val="24"/>
                <w:highlight w:val="none"/>
                <w:u w:val="single"/>
                <w:lang w:val="en-US" w:eastAsia="zh-CN"/>
              </w:rPr>
              <w:t>28</w:t>
            </w:r>
            <w:r>
              <w:rPr>
                <w:rFonts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ascii="宋体" w:hAnsi="宋体" w:eastAsia="宋体"/>
                <w:bCs/>
                <w:sz w:val="24"/>
                <w:szCs w:val="24"/>
                <w:highlight w:val="none"/>
                <w:u w:val="single"/>
              </w:rPr>
              <w:t>分</w:t>
            </w:r>
          </w:p>
          <w:p>
            <w:pPr>
              <w:snapToGrid w:val="0"/>
              <w:spacing w:line="26" w:lineRule="atLeast"/>
              <w:ind w:firstLine="122" w:firstLineChars="50"/>
              <w:rPr>
                <w:rFonts w:ascii="宋体" w:hAnsi="宋体" w:cs="宋体"/>
                <w:spacing w:val="2"/>
                <w:sz w:val="24"/>
                <w:highlight w:val="none"/>
                <w:lang w:val="zh-CN"/>
              </w:rPr>
            </w:pPr>
            <w:r>
              <w:rPr>
                <w:rFonts w:hint="eastAsia" w:ascii="宋体" w:hAnsi="宋体" w:cs="宋体"/>
                <w:spacing w:val="2"/>
                <w:sz w:val="24"/>
                <w:highlight w:val="none"/>
                <w:lang w:val="zh-CN"/>
              </w:rPr>
              <w:t>响应文件提交截止时间：</w:t>
            </w:r>
            <w:r>
              <w:rPr>
                <w:rFonts w:ascii="宋体" w:hAnsi="宋体" w:eastAsia="宋体"/>
                <w:bCs/>
                <w:sz w:val="24"/>
                <w:szCs w:val="24"/>
                <w:highlight w:val="none"/>
                <w:u w:val="single"/>
              </w:rPr>
              <w:t>20</w:t>
            </w:r>
            <w:r>
              <w:rPr>
                <w:rFonts w:hint="eastAsia" w:ascii="宋体" w:hAnsi="宋体" w:eastAsia="宋体"/>
                <w:bCs/>
                <w:sz w:val="24"/>
                <w:szCs w:val="24"/>
                <w:highlight w:val="none"/>
                <w:u w:val="single"/>
              </w:rPr>
              <w:t>22</w:t>
            </w:r>
            <w:r>
              <w:rPr>
                <w:rFonts w:ascii="宋体" w:hAnsi="宋体" w:eastAsia="宋体"/>
                <w:bCs/>
                <w:sz w:val="24"/>
                <w:szCs w:val="24"/>
                <w:highlight w:val="none"/>
                <w:u w:val="single"/>
              </w:rPr>
              <w:t>年</w:t>
            </w:r>
            <w:r>
              <w:rPr>
                <w:rFonts w:hint="eastAsia" w:ascii="宋体" w:hAnsi="宋体" w:eastAsia="宋体"/>
                <w:bCs/>
                <w:sz w:val="24"/>
                <w:szCs w:val="24"/>
                <w:highlight w:val="none"/>
                <w:u w:val="single"/>
                <w:lang w:val="en-US" w:eastAsia="zh-CN"/>
              </w:rPr>
              <w:t>1</w:t>
            </w:r>
            <w:r>
              <w:rPr>
                <w:rFonts w:ascii="宋体" w:hAnsi="宋体" w:eastAsia="宋体"/>
                <w:bCs/>
                <w:sz w:val="24"/>
                <w:szCs w:val="24"/>
                <w:highlight w:val="none"/>
                <w:u w:val="single"/>
              </w:rPr>
              <w:t>月</w:t>
            </w:r>
            <w:r>
              <w:rPr>
                <w:rFonts w:hint="eastAsia" w:ascii="宋体" w:hAnsi="宋体" w:eastAsia="宋体"/>
                <w:bCs/>
                <w:sz w:val="24"/>
                <w:szCs w:val="24"/>
                <w:highlight w:val="none"/>
                <w:u w:val="single"/>
                <w:lang w:val="en-US" w:eastAsia="zh-CN"/>
              </w:rPr>
              <w:t>28</w:t>
            </w:r>
            <w:r>
              <w:rPr>
                <w:rFonts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ascii="宋体" w:hAnsi="宋体" w:eastAsia="宋体"/>
                <w:bCs/>
                <w:sz w:val="24"/>
                <w:szCs w:val="24"/>
                <w:highlight w:val="none"/>
                <w:u w:val="single"/>
              </w:rPr>
              <w:t>点</w:t>
            </w:r>
            <w:r>
              <w:rPr>
                <w:rFonts w:hint="eastAsia" w:ascii="宋体" w:hAnsi="宋体" w:eastAsia="宋体"/>
                <w:bCs/>
                <w:sz w:val="24"/>
                <w:szCs w:val="24"/>
                <w:highlight w:val="none"/>
                <w:u w:val="single"/>
              </w:rPr>
              <w:t>30</w:t>
            </w:r>
            <w:r>
              <w:rPr>
                <w:rFonts w:ascii="宋体" w:hAnsi="宋体" w:eastAsia="宋体"/>
                <w:bCs/>
                <w:sz w:val="24"/>
                <w:szCs w:val="24"/>
                <w:highlight w:val="none"/>
                <w:u w:val="single"/>
              </w:rPr>
              <w:t>分</w:t>
            </w:r>
          </w:p>
          <w:p>
            <w:pPr>
              <w:snapToGrid w:val="0"/>
              <w:spacing w:line="26" w:lineRule="atLeast"/>
              <w:ind w:firstLine="122" w:firstLineChars="50"/>
              <w:rPr>
                <w:rFonts w:ascii="宋体" w:hAnsi="宋体" w:cs="宋体"/>
                <w:sz w:val="24"/>
                <w:highlight w:val="none"/>
                <w:lang w:val="zh-CN"/>
              </w:rPr>
            </w:pPr>
            <w:r>
              <w:rPr>
                <w:rFonts w:hint="eastAsia" w:ascii="宋体" w:hAnsi="宋体" w:cs="宋体"/>
                <w:spacing w:val="2"/>
                <w:sz w:val="24"/>
                <w:highlight w:val="none"/>
                <w:lang w:val="zh-CN"/>
              </w:rPr>
              <w:t>响应文件提交地点：</w:t>
            </w:r>
            <w:r>
              <w:rPr>
                <w:rFonts w:hint="eastAsia" w:ascii="宋体" w:hAnsi="宋体" w:eastAsia="宋体"/>
                <w:sz w:val="24"/>
                <w:szCs w:val="24"/>
                <w:highlight w:val="none"/>
              </w:rPr>
              <w:t>常州市公路事业发展中心407会议室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0"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highlight w:val="none"/>
                <w:lang w:val="zh-CN"/>
              </w:rPr>
            </w:pPr>
            <w:r>
              <w:rPr>
                <w:rFonts w:hint="eastAsia" w:ascii="宋体" w:hAnsi="宋体" w:cs="宋体"/>
                <w:spacing w:val="2"/>
                <w:sz w:val="24"/>
                <w:highlight w:val="none"/>
                <w:lang w:val="zh-CN"/>
              </w:rPr>
              <w:t>开标时间：</w:t>
            </w:r>
            <w:r>
              <w:rPr>
                <w:rFonts w:ascii="宋体" w:hAnsi="宋体" w:eastAsia="宋体"/>
                <w:bCs/>
                <w:sz w:val="24"/>
                <w:szCs w:val="24"/>
                <w:highlight w:val="none"/>
                <w:u w:val="single"/>
              </w:rPr>
              <w:t>20</w:t>
            </w:r>
            <w:r>
              <w:rPr>
                <w:rFonts w:hint="eastAsia" w:ascii="宋体" w:hAnsi="宋体" w:eastAsia="宋体"/>
                <w:bCs/>
                <w:sz w:val="24"/>
                <w:szCs w:val="24"/>
                <w:highlight w:val="none"/>
                <w:u w:val="single"/>
              </w:rPr>
              <w:t>22</w:t>
            </w:r>
            <w:r>
              <w:rPr>
                <w:rFonts w:ascii="宋体" w:hAnsi="宋体" w:eastAsia="宋体"/>
                <w:bCs/>
                <w:sz w:val="24"/>
                <w:szCs w:val="24"/>
                <w:highlight w:val="none"/>
                <w:u w:val="single"/>
              </w:rPr>
              <w:t>年</w:t>
            </w:r>
            <w:r>
              <w:rPr>
                <w:rFonts w:hint="eastAsia" w:ascii="宋体" w:hAnsi="宋体" w:eastAsia="宋体"/>
                <w:bCs/>
                <w:sz w:val="24"/>
                <w:szCs w:val="24"/>
                <w:highlight w:val="none"/>
                <w:u w:val="single"/>
                <w:lang w:val="en-US" w:eastAsia="zh-CN"/>
              </w:rPr>
              <w:t>1</w:t>
            </w:r>
            <w:r>
              <w:rPr>
                <w:rFonts w:ascii="宋体" w:hAnsi="宋体" w:eastAsia="宋体"/>
                <w:bCs/>
                <w:sz w:val="24"/>
                <w:szCs w:val="24"/>
                <w:highlight w:val="none"/>
                <w:u w:val="single"/>
              </w:rPr>
              <w:t>月</w:t>
            </w:r>
            <w:r>
              <w:rPr>
                <w:rFonts w:hint="eastAsia" w:ascii="宋体" w:hAnsi="宋体" w:eastAsia="宋体"/>
                <w:bCs/>
                <w:sz w:val="24"/>
                <w:szCs w:val="24"/>
                <w:highlight w:val="none"/>
                <w:u w:val="single"/>
                <w:lang w:val="en-US" w:eastAsia="zh-CN"/>
              </w:rPr>
              <w:t>28</w:t>
            </w:r>
            <w:r>
              <w:rPr>
                <w:rFonts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ascii="宋体" w:hAnsi="宋体" w:eastAsia="宋体"/>
                <w:bCs/>
                <w:sz w:val="24"/>
                <w:szCs w:val="24"/>
                <w:highlight w:val="none"/>
                <w:u w:val="single"/>
              </w:rPr>
              <w:t>点</w:t>
            </w:r>
            <w:r>
              <w:rPr>
                <w:rFonts w:hint="eastAsia" w:ascii="宋体" w:hAnsi="宋体" w:eastAsia="宋体"/>
                <w:bCs/>
                <w:sz w:val="24"/>
                <w:szCs w:val="24"/>
                <w:highlight w:val="none"/>
                <w:u w:val="single"/>
              </w:rPr>
              <w:t>30</w:t>
            </w:r>
            <w:r>
              <w:rPr>
                <w:rFonts w:ascii="宋体" w:hAnsi="宋体" w:eastAsia="宋体"/>
                <w:bCs/>
                <w:sz w:val="24"/>
                <w:szCs w:val="24"/>
                <w:highlight w:val="none"/>
                <w:u w:val="single"/>
              </w:rPr>
              <w:t>分</w:t>
            </w:r>
          </w:p>
          <w:p>
            <w:pPr>
              <w:snapToGrid w:val="0"/>
              <w:spacing w:line="26" w:lineRule="atLeast"/>
              <w:ind w:firstLine="122" w:firstLineChars="50"/>
              <w:rPr>
                <w:rFonts w:ascii="宋体" w:hAnsi="宋体" w:cs="宋体"/>
                <w:spacing w:val="2"/>
                <w:sz w:val="24"/>
                <w:highlight w:val="none"/>
              </w:rPr>
            </w:pPr>
            <w:r>
              <w:rPr>
                <w:rFonts w:hint="eastAsia" w:ascii="宋体" w:hAnsi="宋体" w:cs="宋体"/>
                <w:spacing w:val="2"/>
                <w:sz w:val="24"/>
                <w:highlight w:val="none"/>
                <w:lang w:val="zh-CN"/>
              </w:rPr>
              <w:t>地　　点：</w:t>
            </w:r>
            <w:r>
              <w:rPr>
                <w:rFonts w:hint="eastAsia" w:ascii="宋体" w:hAnsi="宋体" w:eastAsia="宋体"/>
                <w:sz w:val="24"/>
                <w:szCs w:val="24"/>
                <w:highlight w:val="none"/>
              </w:rPr>
              <w:t>常州市公路事业发展中心407会议室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
                <w:bCs/>
                <w:sz w:val="24"/>
              </w:rPr>
            </w:pPr>
            <w:r>
              <w:rPr>
                <w:rFonts w:hint="eastAsia" w:ascii="宋体" w:hAnsi="宋体" w:cs="宋体"/>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供应商信用信息查询渠道:</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sdt>
      <w:sdtPr>
        <w:rPr>
          <w:rFonts w:asciiTheme="minorHAnsi" w:hAnsiTheme="minorHAnsi" w:eastAsiaTheme="minorEastAsia" w:cstheme="minorBidi"/>
          <w:b w:val="0"/>
          <w:bCs w:val="0"/>
          <w:color w:val="auto"/>
          <w:kern w:val="2"/>
          <w:sz w:val="21"/>
          <w:szCs w:val="22"/>
          <w:lang w:val="zh-CN"/>
        </w:rPr>
        <w:id w:val="-1880626030"/>
        <w:docPartObj>
          <w:docPartGallery w:val="Table of Contents"/>
          <w:docPartUnique/>
        </w:docPartObj>
      </w:sdtPr>
      <w:sdtEndPr>
        <w:rPr>
          <w:rFonts w:ascii="Calibri" w:hAnsi="Calibri" w:eastAsia="黑体" w:cstheme="minorBidi"/>
          <w:b w:val="0"/>
          <w:bCs w:val="0"/>
          <w:color w:val="auto"/>
          <w:kern w:val="2"/>
          <w:sz w:val="30"/>
          <w:szCs w:val="30"/>
          <w:lang w:val="en-US"/>
        </w:rPr>
      </w:sdtEndPr>
      <w:sdtContent>
        <w:p>
          <w:pPr>
            <w:pStyle w:val="117"/>
            <w:jc w:val="center"/>
            <w:rPr>
              <w:rFonts w:ascii="黑体" w:hAnsi="黑体" w:eastAsia="黑体"/>
              <w:color w:val="000000" w:themeColor="text1"/>
              <w:sz w:val="48"/>
              <w:szCs w:val="48"/>
              <w:lang w:val="zh-CN"/>
            </w:rPr>
          </w:pPr>
          <w:r>
            <w:rPr>
              <w:rFonts w:ascii="黑体" w:hAnsi="黑体" w:eastAsia="黑体"/>
              <w:color w:val="000000" w:themeColor="text1"/>
              <w:sz w:val="48"/>
              <w:szCs w:val="48"/>
              <w:lang w:val="zh-CN"/>
            </w:rPr>
            <w:t>目录</w:t>
          </w:r>
        </w:p>
        <w:p>
          <w:pPr>
            <w:pStyle w:val="23"/>
            <w:rPr>
              <w:rFonts w:eastAsiaTheme="minorEastAsia"/>
              <w:sz w:val="21"/>
              <w:szCs w:val="22"/>
            </w:rPr>
          </w:pPr>
          <w:r>
            <w:rPr>
              <w:rFonts w:cstheme="minorHAnsi"/>
              <w:sz w:val="32"/>
              <w:szCs w:val="32"/>
            </w:rPr>
            <w:fldChar w:fldCharType="begin"/>
          </w:r>
          <w:r>
            <w:rPr>
              <w:rFonts w:cstheme="minorHAnsi"/>
              <w:sz w:val="32"/>
              <w:szCs w:val="32"/>
            </w:rPr>
            <w:instrText xml:space="preserve">TOC \o "1-3" \h \z \u</w:instrText>
          </w:r>
          <w:r>
            <w:rPr>
              <w:rFonts w:cstheme="minorHAnsi"/>
              <w:sz w:val="32"/>
              <w:szCs w:val="32"/>
            </w:rPr>
            <w:fldChar w:fldCharType="separate"/>
          </w:r>
        </w:p>
        <w:p>
          <w:pPr>
            <w:pStyle w:val="23"/>
            <w:rPr>
              <w:rFonts w:eastAsiaTheme="minorEastAsia"/>
              <w:sz w:val="21"/>
              <w:szCs w:val="22"/>
            </w:rPr>
          </w:pPr>
          <w:r>
            <w:fldChar w:fldCharType="begin"/>
          </w:r>
          <w:r>
            <w:instrText xml:space="preserve"> HYPERLINK \l "_Toc92976615" </w:instrText>
          </w:r>
          <w:r>
            <w:fldChar w:fldCharType="separate"/>
          </w:r>
          <w:r>
            <w:rPr>
              <w:rStyle w:val="39"/>
              <w:rFonts w:hint="eastAsia"/>
            </w:rPr>
            <w:t>一．磋商邀请函</w:t>
          </w:r>
          <w:r>
            <w:tab/>
          </w:r>
          <w:r>
            <w:fldChar w:fldCharType="begin"/>
          </w:r>
          <w:r>
            <w:instrText xml:space="preserve"> PAGEREF _Toc92976615 \h </w:instrText>
          </w:r>
          <w:r>
            <w:fldChar w:fldCharType="separate"/>
          </w:r>
          <w:r>
            <w:t>1</w:t>
          </w:r>
          <w:r>
            <w:fldChar w:fldCharType="end"/>
          </w:r>
          <w:r>
            <w:fldChar w:fldCharType="end"/>
          </w:r>
        </w:p>
        <w:p>
          <w:pPr>
            <w:pStyle w:val="23"/>
            <w:rPr>
              <w:rFonts w:eastAsiaTheme="minorEastAsia"/>
              <w:sz w:val="21"/>
              <w:szCs w:val="22"/>
            </w:rPr>
          </w:pPr>
          <w:r>
            <w:fldChar w:fldCharType="begin"/>
          </w:r>
          <w:r>
            <w:instrText xml:space="preserve"> HYPERLINK \l "_Toc92976616" </w:instrText>
          </w:r>
          <w:r>
            <w:fldChar w:fldCharType="separate"/>
          </w:r>
          <w:r>
            <w:rPr>
              <w:rStyle w:val="39"/>
              <w:rFonts w:hint="eastAsia"/>
            </w:rPr>
            <w:t>二．供应商须知</w:t>
          </w:r>
          <w:r>
            <w:tab/>
          </w:r>
          <w:r>
            <w:fldChar w:fldCharType="begin"/>
          </w:r>
          <w:r>
            <w:instrText xml:space="preserve"> PAGEREF _Toc92976616 \h </w:instrText>
          </w:r>
          <w:r>
            <w:fldChar w:fldCharType="separate"/>
          </w:r>
          <w:r>
            <w:t>5</w:t>
          </w:r>
          <w:r>
            <w:fldChar w:fldCharType="end"/>
          </w:r>
          <w:r>
            <w:fldChar w:fldCharType="end"/>
          </w:r>
        </w:p>
        <w:p>
          <w:pPr>
            <w:pStyle w:val="23"/>
            <w:rPr>
              <w:rFonts w:eastAsiaTheme="minorEastAsia"/>
              <w:sz w:val="21"/>
              <w:szCs w:val="22"/>
            </w:rPr>
          </w:pPr>
          <w:r>
            <w:fldChar w:fldCharType="begin"/>
          </w:r>
          <w:r>
            <w:instrText xml:space="preserve"> HYPERLINK \l "_Toc92976617" </w:instrText>
          </w:r>
          <w:r>
            <w:fldChar w:fldCharType="separate"/>
          </w:r>
          <w:r>
            <w:rPr>
              <w:rStyle w:val="39"/>
              <w:rFonts w:hint="eastAsia"/>
            </w:rPr>
            <w:t>三．项目技术要求和有关说明</w:t>
          </w:r>
          <w:r>
            <w:tab/>
          </w:r>
          <w:r>
            <w:fldChar w:fldCharType="begin"/>
          </w:r>
          <w:r>
            <w:instrText xml:space="preserve"> PAGEREF _Toc92976617 \h </w:instrText>
          </w:r>
          <w:r>
            <w:fldChar w:fldCharType="separate"/>
          </w:r>
          <w:r>
            <w:t>13</w:t>
          </w:r>
          <w:r>
            <w:fldChar w:fldCharType="end"/>
          </w:r>
          <w:r>
            <w:fldChar w:fldCharType="end"/>
          </w:r>
        </w:p>
        <w:p>
          <w:pPr>
            <w:pStyle w:val="23"/>
            <w:rPr>
              <w:rFonts w:eastAsiaTheme="minorEastAsia"/>
              <w:sz w:val="21"/>
              <w:szCs w:val="22"/>
            </w:rPr>
          </w:pPr>
          <w:r>
            <w:fldChar w:fldCharType="begin"/>
          </w:r>
          <w:r>
            <w:instrText xml:space="preserve"> HYPERLINK \l "_Toc92976618" </w:instrText>
          </w:r>
          <w:r>
            <w:fldChar w:fldCharType="separate"/>
          </w:r>
          <w:r>
            <w:rPr>
              <w:rStyle w:val="39"/>
              <w:rFonts w:hint="eastAsia" w:ascii="黑体" w:hAnsi="黑体"/>
              <w:bCs/>
              <w:kern w:val="0"/>
            </w:rPr>
            <w:t>四．合同条款及格式</w:t>
          </w:r>
          <w:r>
            <w:tab/>
          </w:r>
          <w:r>
            <w:fldChar w:fldCharType="begin"/>
          </w:r>
          <w:r>
            <w:instrText xml:space="preserve"> PAGEREF _Toc92976618 \h </w:instrText>
          </w:r>
          <w:r>
            <w:fldChar w:fldCharType="separate"/>
          </w:r>
          <w:r>
            <w:t>13</w:t>
          </w:r>
          <w:r>
            <w:fldChar w:fldCharType="end"/>
          </w:r>
          <w:r>
            <w:fldChar w:fldCharType="end"/>
          </w:r>
        </w:p>
        <w:p>
          <w:pPr>
            <w:pStyle w:val="23"/>
            <w:rPr>
              <w:rFonts w:eastAsiaTheme="minorEastAsia"/>
              <w:sz w:val="21"/>
              <w:szCs w:val="22"/>
            </w:rPr>
          </w:pPr>
          <w:r>
            <w:fldChar w:fldCharType="begin"/>
          </w:r>
          <w:r>
            <w:instrText xml:space="preserve"> HYPERLINK \l "_Toc92976622" </w:instrText>
          </w:r>
          <w:r>
            <w:fldChar w:fldCharType="separate"/>
          </w:r>
          <w:r>
            <w:rPr>
              <w:rStyle w:val="39"/>
              <w:rFonts w:hint="eastAsia"/>
            </w:rPr>
            <w:t>五</w:t>
          </w:r>
          <w:r>
            <w:rPr>
              <w:rStyle w:val="39"/>
            </w:rPr>
            <w:t>.</w:t>
          </w:r>
          <w:r>
            <w:rPr>
              <w:rStyle w:val="39"/>
              <w:rFonts w:hint="eastAsia"/>
            </w:rPr>
            <w:t>评分标准</w:t>
          </w:r>
          <w:r>
            <w:tab/>
          </w:r>
          <w:r>
            <w:fldChar w:fldCharType="begin"/>
          </w:r>
          <w:r>
            <w:instrText xml:space="preserve"> PAGEREF _Toc92976622 \h </w:instrText>
          </w:r>
          <w:r>
            <w:fldChar w:fldCharType="separate"/>
          </w:r>
          <w:r>
            <w:t>22</w:t>
          </w:r>
          <w:r>
            <w:fldChar w:fldCharType="end"/>
          </w:r>
          <w:r>
            <w:fldChar w:fldCharType="end"/>
          </w:r>
        </w:p>
        <w:p>
          <w:pPr>
            <w:pStyle w:val="23"/>
            <w:rPr>
              <w:rFonts w:eastAsiaTheme="minorEastAsia"/>
              <w:sz w:val="21"/>
              <w:szCs w:val="22"/>
            </w:rPr>
          </w:pPr>
          <w:r>
            <w:fldChar w:fldCharType="begin"/>
          </w:r>
          <w:r>
            <w:instrText xml:space="preserve"> HYPERLINK \l "_Toc92976623" </w:instrText>
          </w:r>
          <w:r>
            <w:fldChar w:fldCharType="separate"/>
          </w:r>
          <w:r>
            <w:rPr>
              <w:rStyle w:val="39"/>
              <w:rFonts w:hint="eastAsia" w:ascii="黑体" w:hAnsi="黑体"/>
              <w:bCs/>
              <w:kern w:val="0"/>
            </w:rPr>
            <w:t>六．响应文件格式</w:t>
          </w:r>
          <w:r>
            <w:tab/>
          </w:r>
          <w:r>
            <w:fldChar w:fldCharType="begin"/>
          </w:r>
          <w:r>
            <w:instrText xml:space="preserve"> PAGEREF _Toc92976623 \h </w:instrText>
          </w:r>
          <w:r>
            <w:fldChar w:fldCharType="separate"/>
          </w:r>
          <w:r>
            <w:t>24</w:t>
          </w:r>
          <w:r>
            <w:fldChar w:fldCharType="end"/>
          </w:r>
          <w:r>
            <w:fldChar w:fldCharType="end"/>
          </w:r>
        </w:p>
        <w:p>
          <w:pPr>
            <w:pStyle w:val="23"/>
            <w:rPr>
              <w:rFonts w:eastAsiaTheme="minorEastAsia"/>
              <w:sz w:val="21"/>
              <w:szCs w:val="22"/>
            </w:rPr>
          </w:pPr>
          <w:r>
            <w:fldChar w:fldCharType="begin"/>
          </w:r>
          <w:r>
            <w:instrText xml:space="preserve"> HYPERLINK \l "_Toc92976624" </w:instrText>
          </w:r>
          <w:r>
            <w:fldChar w:fldCharType="separate"/>
          </w:r>
          <w:r>
            <w:rPr>
              <w:rStyle w:val="39"/>
              <w:rFonts w:hint="eastAsia" w:ascii="黑体" w:hAnsi="黑体"/>
              <w:bCs/>
              <w:kern w:val="0"/>
            </w:rPr>
            <w:t>友情提醒</w:t>
          </w:r>
          <w:r>
            <w:tab/>
          </w:r>
          <w:r>
            <w:fldChar w:fldCharType="begin"/>
          </w:r>
          <w:r>
            <w:instrText xml:space="preserve"> PAGEREF _Toc92976624 \h </w:instrText>
          </w:r>
          <w:r>
            <w:fldChar w:fldCharType="separate"/>
          </w:r>
          <w:r>
            <w:t>43</w:t>
          </w:r>
          <w:r>
            <w:fldChar w:fldCharType="end"/>
          </w:r>
          <w:r>
            <w:fldChar w:fldCharType="end"/>
          </w:r>
        </w:p>
        <w:p>
          <w:pPr>
            <w:spacing w:before="120" w:after="120" w:line="360" w:lineRule="auto"/>
            <w:rPr>
              <w:rFonts w:ascii="Calibri" w:hAnsi="Calibri" w:eastAsia="黑体"/>
              <w:sz w:val="30"/>
              <w:szCs w:val="30"/>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eastAsia="黑体" w:cstheme="minorHAnsi"/>
              <w:sz w:val="32"/>
              <w:szCs w:val="32"/>
            </w:rPr>
            <w:fldChar w:fldCharType="end"/>
          </w:r>
        </w:p>
      </w:sdtContent>
    </w:sdt>
    <w:p>
      <w:pPr>
        <w:pStyle w:val="122"/>
      </w:pPr>
      <w:bookmarkStart w:id="4" w:name="_Toc92976615"/>
      <w:r>
        <w:rPr>
          <w:rFonts w:hint="eastAsia"/>
        </w:rPr>
        <w:t>一．磋商邀请函</w:t>
      </w:r>
      <w:bookmarkEnd w:id="1"/>
      <w:bookmarkEnd w:id="4"/>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sz w:val="24"/>
          <w:szCs w:val="24"/>
        </w:rPr>
      </w:pPr>
      <w:r>
        <w:rPr>
          <w:rFonts w:hint="eastAsia" w:ascii="宋体" w:hAnsi="宋体" w:eastAsia="宋体"/>
          <w:sz w:val="24"/>
          <w:szCs w:val="24"/>
          <w:u w:val="single"/>
        </w:rPr>
        <w:t>2022年交通安全设施建设工程实体质量检测服务项目</w:t>
      </w:r>
      <w:r>
        <w:rPr>
          <w:rFonts w:hint="eastAsia" w:ascii="宋体" w:hAnsi="宋体" w:eastAsia="宋体"/>
          <w:sz w:val="24"/>
          <w:szCs w:val="24"/>
        </w:rPr>
        <w:t>的潜在供应商应在</w:t>
      </w:r>
      <w:r>
        <w:rPr>
          <w:rFonts w:hint="eastAsia" w:ascii="宋体" w:hAnsi="宋体" w:eastAsia="宋体"/>
          <w:sz w:val="24"/>
          <w:szCs w:val="24"/>
          <w:u w:val="single"/>
        </w:rPr>
        <w:t>江苏仁禾中衡工程咨询房地产估价有限公司网（</w:t>
      </w:r>
      <w:r>
        <w:rPr>
          <w:rFonts w:ascii="宋体" w:hAnsi="宋体" w:eastAsia="宋体"/>
          <w:sz w:val="24"/>
          <w:szCs w:val="24"/>
          <w:u w:val="single"/>
        </w:rPr>
        <w:t>http://www.jsrhzh.com/info.asp?id=1</w:t>
      </w:r>
      <w:r>
        <w:rPr>
          <w:rFonts w:hint="eastAsia" w:ascii="宋体" w:hAnsi="宋体" w:eastAsia="宋体"/>
          <w:sz w:val="24"/>
          <w:szCs w:val="24"/>
          <w:u w:val="single"/>
        </w:rPr>
        <w:t>）</w:t>
      </w:r>
      <w:r>
        <w:rPr>
          <w:rFonts w:hint="eastAsia" w:ascii="宋体" w:hAnsi="宋体" w:eastAsia="宋体"/>
          <w:sz w:val="24"/>
          <w:szCs w:val="24"/>
        </w:rPr>
        <w:t>获取采购文件，并于</w:t>
      </w:r>
      <w:r>
        <w:rPr>
          <w:rFonts w:ascii="宋体" w:hAnsi="宋体" w:eastAsia="宋体"/>
          <w:bCs/>
          <w:sz w:val="24"/>
          <w:szCs w:val="24"/>
          <w:u w:val="single"/>
        </w:rPr>
        <w:t>20</w:t>
      </w:r>
      <w:r>
        <w:rPr>
          <w:rFonts w:hint="eastAsia" w:ascii="宋体" w:hAnsi="宋体" w:eastAsia="宋体"/>
          <w:bCs/>
          <w:sz w:val="24"/>
          <w:szCs w:val="24"/>
          <w:u w:val="single"/>
          <w:lang w:val="en-US" w:eastAsia="zh-CN"/>
        </w:rPr>
        <w:t>22</w:t>
      </w:r>
      <w:r>
        <w:rPr>
          <w:rFonts w:ascii="宋体" w:hAnsi="宋体" w:eastAsia="宋体"/>
          <w:bCs/>
          <w:sz w:val="24"/>
          <w:szCs w:val="24"/>
          <w:u w:val="single"/>
        </w:rPr>
        <w:t>年</w:t>
      </w:r>
      <w:r>
        <w:rPr>
          <w:rFonts w:hint="eastAsia" w:ascii="宋体" w:hAnsi="宋体" w:eastAsia="宋体"/>
          <w:bCs/>
          <w:sz w:val="24"/>
          <w:szCs w:val="24"/>
          <w:u w:val="single"/>
          <w:lang w:val="en-US" w:eastAsia="zh-CN"/>
        </w:rPr>
        <w:t>1</w:t>
      </w:r>
      <w:r>
        <w:rPr>
          <w:rFonts w:ascii="宋体" w:hAnsi="宋体" w:eastAsia="宋体"/>
          <w:bCs/>
          <w:sz w:val="24"/>
          <w:szCs w:val="24"/>
          <w:u w:val="single"/>
        </w:rPr>
        <w:t>月</w:t>
      </w:r>
      <w:r>
        <w:rPr>
          <w:rFonts w:hint="eastAsia" w:ascii="宋体" w:hAnsi="宋体" w:eastAsia="宋体"/>
          <w:bCs/>
          <w:sz w:val="24"/>
          <w:szCs w:val="24"/>
          <w:u w:val="single"/>
          <w:lang w:val="en-US" w:eastAsia="zh-CN"/>
        </w:rPr>
        <w:t>28</w:t>
      </w:r>
      <w:r>
        <w:rPr>
          <w:rFonts w:ascii="宋体" w:hAnsi="宋体" w:eastAsia="宋体"/>
          <w:bCs/>
          <w:sz w:val="24"/>
          <w:szCs w:val="24"/>
          <w:u w:val="single"/>
        </w:rPr>
        <w:t>日</w:t>
      </w:r>
      <w:r>
        <w:rPr>
          <w:rFonts w:hint="eastAsia" w:ascii="宋体" w:hAnsi="宋体" w:eastAsia="宋体"/>
          <w:bCs/>
          <w:sz w:val="24"/>
          <w:szCs w:val="24"/>
          <w:u w:val="single"/>
          <w:lang w:val="en-US" w:eastAsia="zh-CN"/>
        </w:rPr>
        <w:t>9</w:t>
      </w:r>
      <w:r>
        <w:rPr>
          <w:rFonts w:ascii="宋体" w:hAnsi="宋体" w:eastAsia="宋体"/>
          <w:bCs/>
          <w:sz w:val="24"/>
          <w:szCs w:val="24"/>
          <w:u w:val="single"/>
        </w:rPr>
        <w:t>点</w:t>
      </w:r>
      <w:r>
        <w:rPr>
          <w:rFonts w:hint="eastAsia" w:ascii="宋体" w:hAnsi="宋体" w:eastAsia="宋体"/>
          <w:bCs/>
          <w:sz w:val="24"/>
          <w:szCs w:val="24"/>
          <w:u w:val="single"/>
          <w:lang w:val="en-US" w:eastAsia="zh-CN"/>
        </w:rPr>
        <w:t>30</w:t>
      </w:r>
      <w:r>
        <w:rPr>
          <w:rFonts w:ascii="宋体" w:hAnsi="宋体" w:eastAsia="宋体"/>
          <w:bCs/>
          <w:sz w:val="24"/>
          <w:szCs w:val="24"/>
          <w:u w:val="single"/>
        </w:rPr>
        <w:t>分</w:t>
      </w:r>
      <w:r>
        <w:rPr>
          <w:rFonts w:hint="eastAsia" w:ascii="宋体" w:hAnsi="宋体" w:eastAsia="宋体"/>
          <w:bCs/>
          <w:sz w:val="24"/>
          <w:szCs w:val="24"/>
          <w:u w:val="single"/>
        </w:rPr>
        <w:t>（</w:t>
      </w:r>
      <w:r>
        <w:rPr>
          <w:rFonts w:hint="eastAsia" w:ascii="宋体" w:hAnsi="宋体" w:eastAsia="宋体"/>
          <w:bCs/>
          <w:sz w:val="24"/>
          <w:szCs w:val="24"/>
        </w:rPr>
        <w:t>北京时间）前提交响应文件</w:t>
      </w:r>
      <w:r>
        <w:rPr>
          <w:rFonts w:hint="eastAsia" w:ascii="宋体" w:hAnsi="宋体" w:eastAsia="宋体"/>
          <w:sz w:val="24"/>
          <w:szCs w:val="24"/>
        </w:rPr>
        <w:t>。</w:t>
      </w:r>
    </w:p>
    <w:p>
      <w:pPr>
        <w:snapToGrid w:val="0"/>
        <w:spacing w:line="360" w:lineRule="auto"/>
        <w:ind w:firstLine="240" w:firstLineChars="100"/>
        <w:rPr>
          <w:rFonts w:ascii="Times New Roman" w:hAnsi="Times New Roman"/>
          <w:sz w:val="24"/>
          <w:szCs w:val="24"/>
        </w:rPr>
      </w:pPr>
      <w:bookmarkStart w:id="5" w:name="_Toc28359002"/>
      <w:bookmarkStart w:id="6" w:name="_Toc35393790"/>
      <w:bookmarkStart w:id="7" w:name="_Toc28359079"/>
      <w:bookmarkStart w:id="8" w:name="_Toc35393621"/>
      <w:bookmarkStart w:id="9" w:name="_Hlk24379207"/>
    </w:p>
    <w:p>
      <w:pPr>
        <w:spacing w:line="360" w:lineRule="auto"/>
        <w:rPr>
          <w:b/>
          <w:bCs/>
          <w:sz w:val="24"/>
          <w:szCs w:val="24"/>
          <w:highlight w:val="none"/>
        </w:rPr>
      </w:pPr>
      <w:r>
        <w:rPr>
          <w:rFonts w:hint="eastAsia"/>
          <w:b/>
          <w:bCs/>
          <w:sz w:val="24"/>
          <w:szCs w:val="24"/>
        </w:rPr>
        <w:t>一、</w:t>
      </w:r>
      <w:r>
        <w:rPr>
          <w:rFonts w:hint="eastAsia"/>
          <w:b/>
          <w:bCs/>
          <w:sz w:val="24"/>
          <w:szCs w:val="24"/>
          <w:highlight w:val="none"/>
        </w:rPr>
        <w:t>项目基本情况</w:t>
      </w:r>
      <w:bookmarkEnd w:id="5"/>
      <w:bookmarkEnd w:id="6"/>
      <w:bookmarkEnd w:id="7"/>
      <w:bookmarkEnd w:id="8"/>
    </w:p>
    <w:p>
      <w:pPr>
        <w:snapToGrid w:val="0"/>
        <w:spacing w:line="360" w:lineRule="auto"/>
        <w:ind w:firstLine="480" w:firstLineChars="200"/>
        <w:rPr>
          <w:rFonts w:asciiTheme="minorEastAsia" w:hAnsiTheme="minorEastAsia"/>
          <w:color w:val="FF0000"/>
          <w:sz w:val="24"/>
          <w:szCs w:val="24"/>
          <w:highlight w:val="none"/>
        </w:rPr>
      </w:pPr>
      <w:r>
        <w:rPr>
          <w:rFonts w:hint="eastAsia" w:asciiTheme="minorEastAsia" w:hAnsiTheme="minorEastAsia"/>
          <w:sz w:val="24"/>
          <w:szCs w:val="24"/>
          <w:highlight w:val="none"/>
        </w:rPr>
        <w:t>项目编号：</w:t>
      </w:r>
      <w:r>
        <w:rPr>
          <w:rFonts w:asciiTheme="minorEastAsia" w:hAnsiTheme="minorEastAsia"/>
          <w:sz w:val="24"/>
          <w:szCs w:val="24"/>
          <w:highlight w:val="none"/>
        </w:rPr>
        <w:t>JSRHJC202200</w:t>
      </w:r>
      <w:r>
        <w:rPr>
          <w:rFonts w:hint="eastAsia" w:asciiTheme="minorEastAsia" w:hAnsiTheme="minorEastAsia"/>
          <w:sz w:val="24"/>
          <w:szCs w:val="24"/>
          <w:highlight w:val="none"/>
        </w:rPr>
        <w:t>2</w:t>
      </w:r>
    </w:p>
    <w:p>
      <w:pPr>
        <w:snapToGrid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项目名称：2022年交通安全设施建设工程实体质量检测服务项目</w:t>
      </w:r>
    </w:p>
    <w:p>
      <w:pPr>
        <w:snapToGrid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采购方式：口竞争性谈判</w:t>
      </w:r>
      <w:r>
        <w:rPr>
          <w:rFonts w:hint="eastAsia" w:ascii="MS Gothic" w:hAnsi="MS Gothic" w:eastAsia="MS Gothic" w:cs="MS Gothic"/>
          <w:sz w:val="24"/>
          <w:szCs w:val="24"/>
          <w:highlight w:val="none"/>
        </w:rPr>
        <w:t>☑</w:t>
      </w:r>
      <w:r>
        <w:rPr>
          <w:rFonts w:hint="eastAsia" w:asciiTheme="minorEastAsia" w:hAnsiTheme="minorEastAsia"/>
          <w:sz w:val="24"/>
          <w:szCs w:val="24"/>
          <w:highlight w:val="none"/>
        </w:rPr>
        <w:t>竞争性磋商口询价</w:t>
      </w:r>
    </w:p>
    <w:bookmarkEnd w:id="9"/>
    <w:p>
      <w:pPr>
        <w:snapToGrid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预算金额：25万元 </w:t>
      </w:r>
    </w:p>
    <w:p>
      <w:pPr>
        <w:snapToGrid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最高限价：25万元</w:t>
      </w:r>
    </w:p>
    <w:p>
      <w:pPr>
        <w:snapToGrid w:val="0"/>
        <w:spacing w:line="360" w:lineRule="auto"/>
        <w:ind w:firstLine="480" w:firstLineChars="200"/>
        <w:rPr>
          <w:rFonts w:asciiTheme="minorEastAsia" w:hAnsiTheme="minorEastAsia"/>
          <w:color w:val="auto"/>
          <w:sz w:val="24"/>
          <w:szCs w:val="24"/>
          <w:highlight w:val="none"/>
        </w:rPr>
      </w:pPr>
      <w:bookmarkStart w:id="82" w:name="_GoBack"/>
      <w:r>
        <w:rPr>
          <w:rFonts w:hint="eastAsia" w:asciiTheme="minorEastAsia" w:hAnsiTheme="minorEastAsia"/>
          <w:color w:val="auto"/>
          <w:sz w:val="24"/>
          <w:szCs w:val="24"/>
          <w:highlight w:val="none"/>
        </w:rPr>
        <w:t>采购需求：</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对2021年常州市普通国省道交通安全设施精细化提升工程进行工程、2021年常州市普通国省道交通安全设施改建工程竣工验收前内业资料检查和实体质量检测评定，并出具相应报告</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对2022年常州市普通国省道交通安全设施精细化提升工程、2022年常州市普通国省道交通安全设施改建工程进行工程质量检测（业主抽检）以及交工前工程质量检测评定及内业资料检查，并出具相应报告。具体详见项目技术要求和有关说明。</w:t>
      </w:r>
    </w:p>
    <w:p>
      <w:pPr>
        <w:snapToGrid w:val="0"/>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合同履行期限：自合同签订之起至检测任务全部完成止。</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w:t>
      </w:r>
      <w:r>
        <w:rPr>
          <w:rFonts w:hint="eastAsia" w:asciiTheme="minorEastAsia" w:hAnsiTheme="minorEastAsia"/>
          <w:sz w:val="24"/>
          <w:szCs w:val="24"/>
          <w:u w:val="single"/>
        </w:rPr>
        <w:t>不接受</w:t>
      </w:r>
      <w:r>
        <w:rPr>
          <w:rFonts w:hint="eastAsia" w:asciiTheme="minorEastAsia" w:hAnsiTheme="minorEastAsia"/>
          <w:sz w:val="24"/>
          <w:szCs w:val="24"/>
        </w:rPr>
        <w:t>联合体。</w:t>
      </w:r>
    </w:p>
    <w:p>
      <w:pPr>
        <w:spacing w:line="360" w:lineRule="auto"/>
        <w:rPr>
          <w:b/>
          <w:bCs/>
          <w:sz w:val="24"/>
          <w:szCs w:val="24"/>
        </w:rPr>
      </w:pPr>
      <w:bookmarkStart w:id="10" w:name="_Toc35393791"/>
      <w:bookmarkStart w:id="11" w:name="_Toc28359003"/>
      <w:bookmarkStart w:id="12" w:name="_Toc28359080"/>
      <w:bookmarkStart w:id="13" w:name="_Toc35393622"/>
      <w:r>
        <w:rPr>
          <w:rFonts w:hint="eastAsia"/>
          <w:b/>
          <w:bCs/>
          <w:sz w:val="24"/>
          <w:szCs w:val="24"/>
        </w:rPr>
        <w:t>二、申请人的资格要求</w:t>
      </w:r>
      <w:bookmarkEnd w:id="10"/>
      <w:bookmarkEnd w:id="11"/>
      <w:bookmarkEnd w:id="12"/>
      <w:bookmarkEnd w:id="13"/>
      <w:r>
        <w:rPr>
          <w:rFonts w:hint="eastAsia"/>
          <w:b/>
          <w:bCs/>
          <w:sz w:val="24"/>
          <w:szCs w:val="24"/>
        </w:rPr>
        <w:t>：</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1.满足《中华人民共和国政府采购法》第二十二条规定；</w:t>
      </w:r>
    </w:p>
    <w:bookmarkEnd w:id="82"/>
    <w:p>
      <w:pPr>
        <w:snapToGrid w:val="0"/>
        <w:spacing w:line="360" w:lineRule="auto"/>
        <w:ind w:firstLine="480" w:firstLineChars="200"/>
        <w:rPr>
          <w:rFonts w:hint="eastAsia" w:asciiTheme="minorEastAsia" w:hAnsiTheme="minorEastAsia"/>
          <w:sz w:val="24"/>
          <w:szCs w:val="24"/>
        </w:rPr>
      </w:pPr>
      <w:bookmarkStart w:id="14" w:name="_Toc28359004"/>
      <w:bookmarkStart w:id="15" w:name="_Toc28359081"/>
      <w:r>
        <w:rPr>
          <w:rFonts w:hint="eastAsia" w:asciiTheme="minorEastAsia" w:hAnsiTheme="minorEastAsia"/>
          <w:sz w:val="24"/>
          <w:szCs w:val="24"/>
        </w:rPr>
        <w:t>2.落实政府采购政策需满足的资格要求：无</w:t>
      </w:r>
    </w:p>
    <w:p>
      <w:pP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（1）具有有效的公路工程试验检测综合乙级及以上资质； </w:t>
      </w:r>
    </w:p>
    <w:p>
      <w:pPr>
        <w:adjustRightInd w:val="0"/>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）具有省级及以上质量技术监督部门颁发的有效计量认证证书（需含有交通安全设施）</w:t>
      </w:r>
      <w:r>
        <w:rPr>
          <w:rFonts w:hint="eastAsia" w:ascii="宋体" w:hAnsi="宋体" w:cs="宋体"/>
          <w:sz w:val="24"/>
          <w:szCs w:val="24"/>
          <w:highlight w:val="none"/>
          <w:lang w:eastAsia="zh-CN"/>
        </w:rPr>
        <w:t>；</w:t>
      </w:r>
    </w:p>
    <w:p>
      <w:pP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（3）自2016年1月1日至今供应商承担过交通安全设施检测项目；</w:t>
      </w:r>
    </w:p>
    <w:p>
      <w:pPr>
        <w:adjustRightInd w:val="0"/>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）供应商在“信用中国”网站（http://www.creditchina.gov.cn/）中未被列入失信被执行人名单</w:t>
      </w:r>
      <w:r>
        <w:rPr>
          <w:rFonts w:hint="eastAsia" w:ascii="宋体" w:hAnsi="宋体" w:cs="宋体"/>
          <w:sz w:val="24"/>
          <w:szCs w:val="24"/>
          <w:highlight w:val="none"/>
          <w:lang w:eastAsia="zh-CN"/>
        </w:rPr>
        <w:t>；</w:t>
      </w:r>
    </w:p>
    <w:p>
      <w:pPr>
        <w:adjustRightInd w:val="0"/>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）响应文件递交截止日当天，供应商未在国家企业信用信息公示系统（http://www.gsxt.gov.cn/）中被列入严重违法失信企业名单</w:t>
      </w:r>
      <w:r>
        <w:rPr>
          <w:rFonts w:hint="eastAsia" w:ascii="宋体" w:hAnsi="宋体" w:cs="宋体"/>
          <w:sz w:val="24"/>
          <w:szCs w:val="24"/>
          <w:highlight w:val="none"/>
          <w:lang w:eastAsia="zh-CN"/>
        </w:rPr>
        <w:t>；</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）拟投入本项目的项目负责人应具有高级工程师及以上职称；</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w:t>
      </w:r>
      <w:r>
        <w:rPr>
          <w:rFonts w:hint="eastAsia" w:ascii="宋体" w:hAnsi="宋体" w:cs="宋体"/>
          <w:sz w:val="24"/>
          <w:szCs w:val="24"/>
          <w:highlight w:val="none"/>
        </w:rPr>
        <w:t>）拟投入本项目的项目负责人具有交通部颁发的试验检测工程师资格证书（公路、道路、交安或材料）；</w:t>
      </w:r>
    </w:p>
    <w:p>
      <w:pPr>
        <w:adjustRightInd w:val="0"/>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w:t>
      </w:r>
      <w:r>
        <w:rPr>
          <w:rFonts w:ascii="宋体" w:hAnsi="宋体" w:cs="宋体"/>
          <w:sz w:val="24"/>
          <w:szCs w:val="24"/>
          <w:highlight w:val="none"/>
        </w:rPr>
        <w:t>8</w:t>
      </w:r>
      <w:r>
        <w:rPr>
          <w:rFonts w:hint="eastAsia" w:ascii="宋体" w:hAnsi="宋体" w:cs="宋体"/>
          <w:sz w:val="24"/>
          <w:szCs w:val="24"/>
          <w:highlight w:val="none"/>
        </w:rPr>
        <w:t>）拟投入的项目负责人曾担任过交通安全设施检测项目（包括交通安全设施、标志标线、生命安全防护工程）的项目负责人或技术负责人</w:t>
      </w:r>
      <w:r>
        <w:rPr>
          <w:rFonts w:hint="eastAsia" w:ascii="宋体" w:hAnsi="宋体" w:cs="宋体"/>
          <w:sz w:val="24"/>
          <w:szCs w:val="24"/>
          <w:highlight w:val="none"/>
          <w:lang w:eastAsia="zh-CN"/>
        </w:rPr>
        <w:t>；</w:t>
      </w:r>
    </w:p>
    <w:p>
      <w:pPr>
        <w:adjustRightInd w:val="0"/>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（9）投标文件递交截止日当天，在江苏省交通行业与产业项目招标投标信息系统中信用等级评价为A级</w:t>
      </w:r>
      <w:r>
        <w:rPr>
          <w:rFonts w:ascii="宋体" w:hAnsi="宋体" w:cs="宋体"/>
          <w:sz w:val="24"/>
          <w:szCs w:val="24"/>
          <w:highlight w:val="none"/>
        </w:rPr>
        <w:t>(</w:t>
      </w:r>
      <w:r>
        <w:rPr>
          <w:rFonts w:hint="eastAsia" w:ascii="宋体" w:hAnsi="宋体" w:cs="宋体"/>
          <w:sz w:val="24"/>
          <w:szCs w:val="24"/>
          <w:highlight w:val="none"/>
        </w:rPr>
        <w:t>含A暂定)或以上级别</w:t>
      </w:r>
      <w:r>
        <w:rPr>
          <w:rFonts w:hint="eastAsia" w:ascii="宋体" w:hAnsi="宋体" w:cs="宋体"/>
          <w:sz w:val="24"/>
          <w:szCs w:val="24"/>
          <w:highlight w:val="none"/>
          <w:lang w:eastAsia="zh-CN"/>
        </w:rPr>
        <w:t>；</w:t>
      </w:r>
    </w:p>
    <w:p>
      <w:pP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10</w:t>
      </w:r>
      <w:r>
        <w:rPr>
          <w:rFonts w:hint="eastAsia" w:ascii="宋体" w:hAnsi="宋体" w:cs="宋体"/>
          <w:sz w:val="24"/>
          <w:szCs w:val="24"/>
          <w:highlight w:val="none"/>
        </w:rPr>
        <w:t>）与采购人存在利害关系可能影响招标公正性的单位，不得参加投标。单位负责人为同一人或者存在控股、管理关系的不同单位，不得参加同一标段投标，否则，相关投标无效。</w:t>
      </w:r>
    </w:p>
    <w:p>
      <w:pPr>
        <w:spacing w:line="360" w:lineRule="auto"/>
        <w:rPr>
          <w:b/>
          <w:bCs/>
          <w:color w:val="auto"/>
          <w:sz w:val="24"/>
          <w:szCs w:val="24"/>
        </w:rPr>
      </w:pPr>
      <w:bookmarkStart w:id="16" w:name="_Toc35393623"/>
      <w:bookmarkStart w:id="17" w:name="_Toc35393792"/>
      <w:r>
        <w:rPr>
          <w:rFonts w:hint="eastAsia"/>
          <w:b/>
          <w:bCs/>
          <w:sz w:val="24"/>
          <w:szCs w:val="24"/>
        </w:rPr>
        <w:t>三、获取采购文件</w:t>
      </w:r>
      <w:bookmarkEnd w:id="14"/>
      <w:bookmarkEnd w:id="15"/>
      <w:bookmarkEnd w:id="16"/>
      <w:bookmarkEnd w:id="17"/>
    </w:p>
    <w:p>
      <w:pPr>
        <w:spacing w:line="360" w:lineRule="auto"/>
        <w:ind w:firstLine="480" w:firstLineChars="200"/>
        <w:rPr>
          <w:rFonts w:ascii="宋体" w:hAnsi="宋体" w:eastAsia="宋体"/>
          <w:bCs/>
          <w:color w:val="auto"/>
          <w:sz w:val="24"/>
          <w:szCs w:val="24"/>
        </w:rPr>
      </w:pPr>
      <w:r>
        <w:rPr>
          <w:rFonts w:hint="eastAsia" w:ascii="宋体" w:hAnsi="宋体" w:eastAsia="宋体"/>
          <w:bCs/>
          <w:color w:val="auto"/>
          <w:sz w:val="24"/>
          <w:szCs w:val="24"/>
        </w:rPr>
        <w:t>时间：2022年</w:t>
      </w:r>
      <w:r>
        <w:rPr>
          <w:rFonts w:hint="eastAsia" w:ascii="宋体" w:hAnsi="宋体" w:eastAsia="宋体"/>
          <w:bCs/>
          <w:color w:val="auto"/>
          <w:sz w:val="24"/>
          <w:szCs w:val="24"/>
          <w:lang w:val="en-US" w:eastAsia="zh-CN"/>
        </w:rPr>
        <w:t>1</w:t>
      </w:r>
      <w:r>
        <w:rPr>
          <w:rFonts w:hint="eastAsia" w:ascii="宋体" w:hAnsi="宋体" w:eastAsia="宋体"/>
          <w:bCs/>
          <w:color w:val="auto"/>
          <w:sz w:val="24"/>
          <w:szCs w:val="24"/>
        </w:rPr>
        <w:t>月</w:t>
      </w:r>
      <w:r>
        <w:rPr>
          <w:rFonts w:hint="eastAsia" w:ascii="宋体" w:hAnsi="宋体" w:eastAsia="宋体"/>
          <w:bCs/>
          <w:color w:val="auto"/>
          <w:sz w:val="24"/>
          <w:szCs w:val="24"/>
          <w:lang w:val="en-US" w:eastAsia="zh-CN"/>
        </w:rPr>
        <w:t>18</w:t>
      </w:r>
      <w:r>
        <w:rPr>
          <w:rFonts w:hint="eastAsia" w:ascii="宋体" w:hAnsi="宋体" w:eastAsia="宋体"/>
          <w:bCs/>
          <w:color w:val="auto"/>
          <w:sz w:val="24"/>
          <w:szCs w:val="24"/>
        </w:rPr>
        <w:t>日至2022年</w:t>
      </w:r>
      <w:r>
        <w:rPr>
          <w:rFonts w:hint="eastAsia" w:ascii="宋体" w:hAnsi="宋体" w:eastAsia="宋体"/>
          <w:bCs/>
          <w:color w:val="auto"/>
          <w:sz w:val="24"/>
          <w:szCs w:val="24"/>
          <w:lang w:val="en-US" w:eastAsia="zh-CN"/>
        </w:rPr>
        <w:t>1</w:t>
      </w:r>
      <w:r>
        <w:rPr>
          <w:rFonts w:hint="eastAsia" w:ascii="宋体" w:hAnsi="宋体" w:eastAsia="宋体"/>
          <w:bCs/>
          <w:color w:val="auto"/>
          <w:sz w:val="24"/>
          <w:szCs w:val="24"/>
        </w:rPr>
        <w:t>月</w:t>
      </w:r>
      <w:r>
        <w:rPr>
          <w:rFonts w:hint="eastAsia" w:ascii="宋体" w:hAnsi="宋体" w:eastAsia="宋体"/>
          <w:bCs/>
          <w:color w:val="auto"/>
          <w:sz w:val="24"/>
          <w:szCs w:val="24"/>
          <w:lang w:val="en-US" w:eastAsia="zh-CN"/>
        </w:rPr>
        <w:t>26</w:t>
      </w:r>
      <w:r>
        <w:rPr>
          <w:rFonts w:hint="eastAsia" w:ascii="宋体" w:hAnsi="宋体" w:eastAsia="宋体"/>
          <w:bCs/>
          <w:color w:val="auto"/>
          <w:sz w:val="24"/>
          <w:szCs w:val="24"/>
        </w:rPr>
        <w:t>日，每天上午8:30至11:30，下午13:00至17:00（北京时间，法定节假日除外）。</w:t>
      </w:r>
    </w:p>
    <w:p>
      <w:pPr>
        <w:spacing w:line="360" w:lineRule="auto"/>
        <w:ind w:firstLine="480" w:firstLineChars="200"/>
        <w:rPr>
          <w:rFonts w:ascii="宋体" w:hAnsi="宋体" w:eastAsia="宋体"/>
          <w:bCs/>
          <w:color w:val="auto"/>
          <w:sz w:val="24"/>
          <w:szCs w:val="24"/>
        </w:rPr>
      </w:pPr>
      <w:r>
        <w:rPr>
          <w:rFonts w:hint="eastAsia" w:ascii="宋体" w:hAnsi="宋体" w:eastAsia="宋体"/>
          <w:bCs/>
          <w:color w:val="auto"/>
          <w:sz w:val="24"/>
          <w:szCs w:val="24"/>
        </w:rPr>
        <w:t>地点：江苏省常州市天宁区恒生科技园4-1号。</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方式：（供应商可采取以下任一种方式获取采购文件）</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（1）现场领购：提供领购资料至江苏省常州市天宁区恒生科技园4-1号办理。</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（2）网络领购：若无法现金交纳，请联系熊女士，电 话：</w:t>
      </w:r>
      <w:r>
        <w:rPr>
          <w:rFonts w:ascii="宋体" w:hAnsi="宋体" w:eastAsia="宋体"/>
          <w:bCs/>
          <w:sz w:val="24"/>
          <w:szCs w:val="24"/>
          <w:highlight w:val="none"/>
        </w:rPr>
        <w:t>18915091067</w:t>
      </w:r>
      <w:r>
        <w:rPr>
          <w:rFonts w:hint="eastAsia" w:ascii="宋体" w:hAnsi="宋体" w:eastAsia="宋体"/>
          <w:bCs/>
          <w:sz w:val="24"/>
          <w:szCs w:val="24"/>
          <w:highlight w:val="none"/>
        </w:rPr>
        <w:t>。交纳成功后，将符合要求的领购资料扫描件和报名费交纳凭证一并发送至邮箱：czzczb@126.com。</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（3）领购时须提供以下材料：</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①《投标报名申请表》原件一份（格式见附件）；</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②提供有效企业法人营业执照复印件加盖公章。</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售价：人民币叁佰元整(现金交纳或以公司指定方式支付)，采购文件售后一概不退。</w:t>
      </w:r>
    </w:p>
    <w:p>
      <w:pPr>
        <w:spacing w:line="360" w:lineRule="auto"/>
        <w:rPr>
          <w:b/>
          <w:bCs/>
          <w:sz w:val="24"/>
          <w:szCs w:val="24"/>
          <w:highlight w:val="none"/>
        </w:rPr>
      </w:pPr>
      <w:bookmarkStart w:id="18" w:name="_Toc28359005"/>
      <w:bookmarkStart w:id="19" w:name="_Toc35393624"/>
      <w:bookmarkStart w:id="20" w:name="_Toc28359082"/>
      <w:bookmarkStart w:id="21" w:name="_Toc35393793"/>
      <w:r>
        <w:rPr>
          <w:rFonts w:hint="eastAsia"/>
          <w:b/>
          <w:bCs/>
          <w:sz w:val="24"/>
          <w:szCs w:val="24"/>
          <w:highlight w:val="none"/>
        </w:rPr>
        <w:t>四、响应文件</w:t>
      </w:r>
      <w:bookmarkEnd w:id="18"/>
      <w:bookmarkEnd w:id="19"/>
      <w:bookmarkEnd w:id="20"/>
      <w:bookmarkEnd w:id="21"/>
      <w:r>
        <w:rPr>
          <w:rFonts w:hint="eastAsia"/>
          <w:b/>
          <w:bCs/>
          <w:sz w:val="24"/>
          <w:szCs w:val="24"/>
          <w:highlight w:val="none"/>
        </w:rPr>
        <w:t>提交</w:t>
      </w:r>
    </w:p>
    <w:p>
      <w:pPr>
        <w:snapToGrid w:val="0"/>
        <w:spacing w:line="360" w:lineRule="auto"/>
        <w:ind w:firstLine="480" w:firstLineChars="200"/>
        <w:rPr>
          <w:rFonts w:ascii="黑体" w:hAnsi="黑体" w:eastAsia="黑体"/>
          <w:sz w:val="24"/>
          <w:szCs w:val="24"/>
          <w:highlight w:val="none"/>
        </w:rPr>
      </w:pPr>
      <w:r>
        <w:rPr>
          <w:rFonts w:hint="eastAsia" w:ascii="宋体" w:hAnsi="宋体" w:eastAsia="宋体"/>
          <w:sz w:val="24"/>
          <w:szCs w:val="24"/>
          <w:highlight w:val="none"/>
        </w:rPr>
        <w:t>截止时间：</w:t>
      </w:r>
      <w:r>
        <w:rPr>
          <w:rFonts w:ascii="宋体" w:hAnsi="宋体" w:eastAsia="宋体"/>
          <w:bCs/>
          <w:sz w:val="24"/>
          <w:szCs w:val="24"/>
          <w:highlight w:val="none"/>
          <w:u w:val="single"/>
        </w:rPr>
        <w:t>20</w:t>
      </w:r>
      <w:r>
        <w:rPr>
          <w:rFonts w:hint="eastAsia" w:ascii="宋体" w:hAnsi="宋体" w:eastAsia="宋体"/>
          <w:bCs/>
          <w:sz w:val="24"/>
          <w:szCs w:val="24"/>
          <w:highlight w:val="none"/>
          <w:u w:val="single"/>
        </w:rPr>
        <w:t>22</w:t>
      </w:r>
      <w:r>
        <w:rPr>
          <w:rFonts w:ascii="宋体" w:hAnsi="宋体" w:eastAsia="宋体"/>
          <w:bCs/>
          <w:sz w:val="24"/>
          <w:szCs w:val="24"/>
          <w:highlight w:val="none"/>
          <w:u w:val="single"/>
        </w:rPr>
        <w:t>年</w:t>
      </w:r>
      <w:r>
        <w:rPr>
          <w:rFonts w:hint="eastAsia" w:ascii="宋体" w:hAnsi="宋体" w:eastAsia="宋体"/>
          <w:bCs/>
          <w:sz w:val="24"/>
          <w:szCs w:val="24"/>
          <w:highlight w:val="none"/>
          <w:u w:val="single"/>
          <w:lang w:val="en-US" w:eastAsia="zh-CN"/>
        </w:rPr>
        <w:t>1</w:t>
      </w:r>
      <w:r>
        <w:rPr>
          <w:rFonts w:ascii="宋体" w:hAnsi="宋体" w:eastAsia="宋体"/>
          <w:bCs/>
          <w:sz w:val="24"/>
          <w:szCs w:val="24"/>
          <w:highlight w:val="none"/>
          <w:u w:val="single"/>
        </w:rPr>
        <w:t>月</w:t>
      </w:r>
      <w:r>
        <w:rPr>
          <w:rFonts w:hint="eastAsia" w:ascii="宋体" w:hAnsi="宋体" w:eastAsia="宋体"/>
          <w:bCs/>
          <w:sz w:val="24"/>
          <w:szCs w:val="24"/>
          <w:highlight w:val="none"/>
          <w:u w:val="single"/>
          <w:lang w:val="en-US" w:eastAsia="zh-CN"/>
        </w:rPr>
        <w:t>28</w:t>
      </w:r>
      <w:r>
        <w:rPr>
          <w:rFonts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ascii="宋体" w:hAnsi="宋体" w:eastAsia="宋体"/>
          <w:bCs/>
          <w:sz w:val="24"/>
          <w:szCs w:val="24"/>
          <w:highlight w:val="none"/>
          <w:u w:val="single"/>
        </w:rPr>
        <w:t>分</w:t>
      </w:r>
      <w:r>
        <w:rPr>
          <w:rFonts w:hint="eastAsia" w:ascii="宋体" w:hAnsi="宋体" w:eastAsia="宋体"/>
          <w:bCs/>
          <w:sz w:val="24"/>
          <w:szCs w:val="24"/>
          <w:highlight w:val="none"/>
        </w:rPr>
        <w:t>（北京时间）</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sz w:val="24"/>
          <w:szCs w:val="24"/>
          <w:highlight w:val="none"/>
        </w:rPr>
        <w:t>地点：常州市公路事业发展中心407会议室</w:t>
      </w:r>
    </w:p>
    <w:p>
      <w:pPr>
        <w:spacing w:line="360" w:lineRule="auto"/>
        <w:rPr>
          <w:b/>
          <w:bCs/>
          <w:sz w:val="24"/>
          <w:szCs w:val="24"/>
          <w:highlight w:val="none"/>
        </w:rPr>
      </w:pPr>
      <w:bookmarkStart w:id="22" w:name="_Toc28358998"/>
      <w:bookmarkStart w:id="23" w:name="_Toc35393786"/>
      <w:bookmarkStart w:id="24" w:name="_Toc35393617"/>
      <w:bookmarkStart w:id="25" w:name="_Toc28359075"/>
      <w:r>
        <w:rPr>
          <w:rFonts w:hint="eastAsia"/>
          <w:b/>
          <w:bCs/>
          <w:sz w:val="24"/>
          <w:szCs w:val="24"/>
          <w:highlight w:val="none"/>
        </w:rPr>
        <w:t>五、开启</w:t>
      </w:r>
    </w:p>
    <w:p>
      <w:pPr>
        <w:snapToGrid w:val="0"/>
        <w:spacing w:line="360" w:lineRule="auto"/>
        <w:ind w:firstLine="480" w:firstLineChars="200"/>
        <w:rPr>
          <w:rFonts w:ascii="黑体" w:hAnsi="黑体" w:eastAsia="黑体"/>
          <w:sz w:val="24"/>
          <w:szCs w:val="24"/>
          <w:highlight w:val="none"/>
        </w:rPr>
      </w:pPr>
      <w:r>
        <w:rPr>
          <w:rFonts w:hint="eastAsia" w:ascii="宋体" w:hAnsi="宋体" w:eastAsia="宋体"/>
          <w:sz w:val="24"/>
          <w:szCs w:val="24"/>
          <w:highlight w:val="none"/>
        </w:rPr>
        <w:t>时间：</w:t>
      </w:r>
      <w:r>
        <w:rPr>
          <w:rFonts w:ascii="宋体" w:hAnsi="宋体" w:eastAsia="宋体"/>
          <w:bCs/>
          <w:sz w:val="24"/>
          <w:szCs w:val="24"/>
          <w:highlight w:val="none"/>
          <w:u w:val="single"/>
        </w:rPr>
        <w:t>20</w:t>
      </w:r>
      <w:r>
        <w:rPr>
          <w:rFonts w:hint="eastAsia" w:ascii="宋体" w:hAnsi="宋体" w:eastAsia="宋体"/>
          <w:bCs/>
          <w:sz w:val="24"/>
          <w:szCs w:val="24"/>
          <w:highlight w:val="none"/>
          <w:u w:val="single"/>
        </w:rPr>
        <w:t>22</w:t>
      </w:r>
      <w:r>
        <w:rPr>
          <w:rFonts w:ascii="宋体" w:hAnsi="宋体" w:eastAsia="宋体"/>
          <w:bCs/>
          <w:sz w:val="24"/>
          <w:szCs w:val="24"/>
          <w:highlight w:val="none"/>
          <w:u w:val="single"/>
        </w:rPr>
        <w:t>年</w:t>
      </w:r>
      <w:r>
        <w:rPr>
          <w:rFonts w:hint="eastAsia" w:ascii="宋体" w:hAnsi="宋体" w:eastAsia="宋体"/>
          <w:bCs/>
          <w:sz w:val="24"/>
          <w:szCs w:val="24"/>
          <w:highlight w:val="none"/>
          <w:u w:val="single"/>
          <w:lang w:val="en-US" w:eastAsia="zh-CN"/>
        </w:rPr>
        <w:t>1</w:t>
      </w:r>
      <w:r>
        <w:rPr>
          <w:rFonts w:ascii="宋体" w:hAnsi="宋体" w:eastAsia="宋体"/>
          <w:bCs/>
          <w:sz w:val="24"/>
          <w:szCs w:val="24"/>
          <w:highlight w:val="none"/>
          <w:u w:val="single"/>
        </w:rPr>
        <w:t>月</w:t>
      </w:r>
      <w:r>
        <w:rPr>
          <w:rFonts w:hint="eastAsia" w:ascii="宋体" w:hAnsi="宋体" w:eastAsia="宋体"/>
          <w:bCs/>
          <w:sz w:val="24"/>
          <w:szCs w:val="24"/>
          <w:highlight w:val="none"/>
          <w:u w:val="single"/>
          <w:lang w:val="en-US" w:eastAsia="zh-CN"/>
        </w:rPr>
        <w:t>28</w:t>
      </w:r>
      <w:r>
        <w:rPr>
          <w:rFonts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ascii="宋体" w:hAnsi="宋体" w:eastAsia="宋体"/>
          <w:bCs/>
          <w:sz w:val="24"/>
          <w:szCs w:val="24"/>
          <w:highlight w:val="none"/>
          <w:u w:val="single"/>
        </w:rPr>
        <w:t>分</w:t>
      </w:r>
      <w:r>
        <w:rPr>
          <w:rFonts w:hint="eastAsia" w:ascii="宋体" w:hAnsi="宋体" w:eastAsia="宋体"/>
          <w:bCs/>
          <w:sz w:val="24"/>
          <w:szCs w:val="24"/>
          <w:highlight w:val="none"/>
        </w:rPr>
        <w:t>（北京时间）</w:t>
      </w:r>
    </w:p>
    <w:p>
      <w:pPr>
        <w:snapToGrid w:val="0"/>
        <w:spacing w:line="360" w:lineRule="auto"/>
        <w:ind w:firstLine="480" w:firstLineChars="200"/>
        <w:rPr>
          <w:rFonts w:ascii="宋体" w:hAnsi="宋体" w:eastAsia="宋体"/>
          <w:bCs/>
          <w:color w:val="FF0000"/>
          <w:sz w:val="24"/>
          <w:szCs w:val="24"/>
          <w:highlight w:val="none"/>
        </w:rPr>
      </w:pPr>
      <w:r>
        <w:rPr>
          <w:rFonts w:hint="eastAsia" w:ascii="宋体" w:hAnsi="宋体" w:eastAsia="宋体"/>
          <w:sz w:val="24"/>
          <w:szCs w:val="24"/>
          <w:highlight w:val="none"/>
        </w:rPr>
        <w:t>地点：常州市公路事业发展中心407会议室</w:t>
      </w:r>
    </w:p>
    <w:p>
      <w:pPr>
        <w:spacing w:line="360" w:lineRule="auto"/>
        <w:rPr>
          <w:b/>
          <w:bCs/>
          <w:sz w:val="24"/>
          <w:szCs w:val="24"/>
          <w:highlight w:val="none"/>
        </w:rPr>
      </w:pPr>
      <w:bookmarkStart w:id="26" w:name="_Toc28359084"/>
      <w:bookmarkStart w:id="27" w:name="_Toc28359007"/>
      <w:bookmarkStart w:id="28" w:name="_Toc35393625"/>
      <w:bookmarkStart w:id="29" w:name="_Toc35393794"/>
      <w:r>
        <w:rPr>
          <w:rFonts w:hint="eastAsia"/>
          <w:b/>
          <w:bCs/>
          <w:sz w:val="24"/>
          <w:szCs w:val="24"/>
          <w:highlight w:val="none"/>
        </w:rPr>
        <w:t>六、公告期限</w:t>
      </w:r>
      <w:bookmarkEnd w:id="26"/>
      <w:bookmarkEnd w:id="27"/>
      <w:bookmarkEnd w:id="28"/>
      <w:bookmarkEnd w:id="29"/>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自本公告发布之日起3个工作日。   </w:t>
      </w:r>
    </w:p>
    <w:p>
      <w:pPr>
        <w:spacing w:line="360" w:lineRule="auto"/>
        <w:rPr>
          <w:b/>
          <w:bCs/>
          <w:sz w:val="24"/>
          <w:szCs w:val="24"/>
        </w:rPr>
      </w:pPr>
      <w:bookmarkStart w:id="30" w:name="_Toc35393795"/>
      <w:bookmarkStart w:id="31" w:name="_Toc35393626"/>
      <w:r>
        <w:rPr>
          <w:rFonts w:hint="eastAsia"/>
          <w:b/>
          <w:bCs/>
          <w:sz w:val="24"/>
          <w:szCs w:val="24"/>
        </w:rPr>
        <w:t>七、其他补充事宜</w:t>
      </w:r>
      <w:bookmarkEnd w:id="30"/>
      <w:bookmarkEnd w:id="31"/>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1.现场踏勘：供应商自行踏勘现场。</w:t>
      </w:r>
    </w:p>
    <w:p>
      <w:pPr>
        <w:snapToGrid w:val="0"/>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2.</w:t>
      </w:r>
      <w:r>
        <w:rPr>
          <w:rFonts w:hint="eastAsia" w:asciiTheme="minorEastAsia" w:hAnsiTheme="minorEastAsia"/>
          <w:sz w:val="24"/>
          <w:szCs w:val="24"/>
        </w:rPr>
        <w:t>投标保证金：本项目免收。</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3.有关本次采购项目的事项若存在变动或修改，采购代理机构将通过补充或更正形式在网站上发布，因未能及时了解相关最新信息所引起的投标失误责任由供应商自负。</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4.疫情防控措施</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（1）对于参与开评标活动的投标人、采购人授权代表，应如实填报《疫情期间参与政府采购活动开评标人员健康信息登记表》</w:t>
      </w:r>
      <w:r>
        <w:rPr>
          <w:rFonts w:hint="eastAsia" w:cs="宋体" w:asciiTheme="minorEastAsia" w:hAnsiTheme="minorEastAsia"/>
          <w:b/>
          <w:sz w:val="24"/>
          <w:szCs w:val="24"/>
        </w:rPr>
        <w:t>（格式见附件）</w:t>
      </w:r>
      <w:r>
        <w:rPr>
          <w:rFonts w:hint="eastAsia" w:cs="宋体" w:asciiTheme="minorEastAsia" w:hAnsiTheme="minorEastAsia"/>
          <w:sz w:val="24"/>
          <w:szCs w:val="24"/>
        </w:rPr>
        <w:t>并加盖单位公章。请凭《疫情期间参与政府采购活动开评标人员健康信息登记表》和本人身份证原件方能到指定开评标场所。各投标人委派人数不得超过2人，除投标人授权代表外，其他人员原则上不得进入开评标场所。</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对于参与评标活动的评审专家，在进入公司时，请主动出示当日参与项目评审项目手机短信进入指定场所。进入评标场所前，须如实填写《疫情期间参与政府采购活动开评标人员健康信息登记表》。对有疫情接触史及身体发烧等症状的评标专家不得应答专家随机抽取短信而参加评标活动。</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进入采购代理机构办公场所前，凡是参与采购活动的相关人员必须戴口罩并出示“苏康码”，接受本项目采购代理机构的“测温＋扫码”并登记，“苏康码”验证结果为红色或体温≥37.3℃的，严禁进场。应当严格按照疫情期间管理要求，预留进场核验时间，自觉服从采购人、采购代理机构现场安排，进场后请保持安全距离，分散等候，自觉遵守会场纪律。其他事项按照《江苏省财政厅关于做好疫情防控期间开展政府采购活动有关工作的通知》（苏财购〔2020〕13号）执行。</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（4）因防控工作需要，给采购当事人带来诸多不便，还望多多理解和予以配合。</w:t>
      </w:r>
    </w:p>
    <w:p>
      <w:pPr>
        <w:spacing w:line="360" w:lineRule="auto"/>
        <w:rPr>
          <w:b/>
          <w:bCs/>
          <w:sz w:val="24"/>
          <w:szCs w:val="24"/>
        </w:rPr>
      </w:pPr>
      <w:bookmarkStart w:id="32" w:name="_Toc35393627"/>
      <w:bookmarkStart w:id="33" w:name="_Toc28359085"/>
      <w:bookmarkStart w:id="34" w:name="_Toc28359008"/>
      <w:bookmarkStart w:id="35" w:name="_Toc35393796"/>
      <w:r>
        <w:rPr>
          <w:rFonts w:hint="eastAsia"/>
          <w:b/>
          <w:bCs/>
          <w:sz w:val="24"/>
          <w:szCs w:val="24"/>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cs="宋体" w:asciiTheme="minorEastAsia" w:hAnsiTheme="minorEastAsia"/>
          <w:sz w:val="24"/>
          <w:szCs w:val="24"/>
        </w:rPr>
      </w:pPr>
      <w:bookmarkStart w:id="36" w:name="_Toc55147046"/>
      <w:r>
        <w:rPr>
          <w:rFonts w:hint="eastAsia" w:cs="宋体" w:asciiTheme="minorEastAsia" w:hAnsiTheme="minorEastAsia"/>
          <w:sz w:val="24"/>
          <w:szCs w:val="24"/>
        </w:rPr>
        <w:t>1.采购人信息</w:t>
      </w:r>
    </w:p>
    <w:p>
      <w:pPr>
        <w:snapToGrid w:val="0"/>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sz w:val="24"/>
          <w:szCs w:val="24"/>
        </w:rPr>
        <w:t>名    称：</w:t>
      </w:r>
      <w:r>
        <w:rPr>
          <w:rFonts w:hint="eastAsia" w:cs="宋体" w:asciiTheme="minorEastAsia" w:hAnsiTheme="minorEastAsia"/>
          <w:sz w:val="24"/>
          <w:szCs w:val="24"/>
          <w:highlight w:val="none"/>
        </w:rPr>
        <w:t>常州市公路事业发展中心</w:t>
      </w:r>
    </w:p>
    <w:p>
      <w:pPr>
        <w:snapToGrid w:val="0"/>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sz w:val="24"/>
          <w:szCs w:val="24"/>
          <w:highlight w:val="none"/>
        </w:rPr>
        <w:t>地    址：朱夏墅村委叶西村42号</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联系方式：</w:t>
      </w:r>
      <w:bookmarkStart w:id="37" w:name="_Toc35393787"/>
      <w:bookmarkStart w:id="38" w:name="_Toc35393618"/>
      <w:bookmarkStart w:id="39" w:name="_Toc28359076"/>
      <w:bookmarkStart w:id="40" w:name="_Toc28358999"/>
      <w:r>
        <w:rPr>
          <w:rFonts w:hint="eastAsia" w:cs="宋体" w:asciiTheme="minorEastAsia" w:hAnsiTheme="minorEastAsia"/>
          <w:sz w:val="24"/>
          <w:szCs w:val="24"/>
          <w:highlight w:val="none"/>
        </w:rPr>
        <w:t>张</w:t>
      </w:r>
      <w:r>
        <w:rPr>
          <w:rFonts w:hint="eastAsia" w:cs="宋体" w:asciiTheme="minorEastAsia" w:hAnsiTheme="minorEastAsia"/>
          <w:sz w:val="24"/>
          <w:szCs w:val="24"/>
          <w:highlight w:val="none"/>
          <w:lang w:val="en-US" w:eastAsia="zh-CN"/>
        </w:rPr>
        <w:t>先生</w:t>
      </w:r>
      <w:r>
        <w:rPr>
          <w:rFonts w:hint="eastAsia" w:cs="宋体" w:asciiTheme="minorEastAsia" w:hAnsiTheme="minorEastAsia"/>
          <w:sz w:val="24"/>
          <w:szCs w:val="24"/>
          <w:highlight w:val="none"/>
        </w:rPr>
        <w:t>0519-81661723</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w:t>
      </w:r>
      <w:bookmarkEnd w:id="37"/>
      <w:bookmarkEnd w:id="38"/>
      <w:bookmarkEnd w:id="39"/>
      <w:bookmarkEnd w:id="40"/>
      <w:bookmarkStart w:id="41" w:name="_Toc28359077"/>
      <w:bookmarkStart w:id="42" w:name="_Toc35393788"/>
      <w:bookmarkStart w:id="43" w:name="_Toc35393619"/>
      <w:bookmarkStart w:id="44" w:name="_Toc28359000"/>
      <w:r>
        <w:rPr>
          <w:rFonts w:hint="eastAsia" w:cs="宋体" w:asciiTheme="minorEastAsia" w:hAnsiTheme="minorEastAsia"/>
          <w:sz w:val="24"/>
          <w:szCs w:val="24"/>
        </w:rPr>
        <w:t>采购代理机构信息</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名  称：江苏仁禾中衡工程咨询房地产估价有限公司</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地  址：</w:t>
      </w:r>
      <w:r>
        <w:rPr>
          <w:rFonts w:hint="eastAsia" w:ascii="宋体" w:hAnsi="宋体" w:eastAsia="宋体"/>
          <w:bCs/>
          <w:sz w:val="24"/>
          <w:szCs w:val="24"/>
        </w:rPr>
        <w:t>江苏省常州市天宁区恒生科技园4-1号</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w:t>
      </w:r>
      <w:bookmarkEnd w:id="41"/>
      <w:bookmarkEnd w:id="42"/>
      <w:bookmarkEnd w:id="43"/>
      <w:bookmarkEnd w:id="44"/>
      <w:r>
        <w:rPr>
          <w:rFonts w:hint="eastAsia" w:cs="宋体" w:asciiTheme="minorEastAsia" w:hAnsiTheme="minorEastAsia"/>
          <w:sz w:val="24"/>
          <w:szCs w:val="24"/>
        </w:rPr>
        <w:t>18961201061</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3.项目联系方式</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项目联系人：刘女士</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电     话：18961201061</w:t>
      </w:r>
    </w:p>
    <w:p>
      <w:pPr>
        <w:widowControl/>
        <w:jc w:val="left"/>
        <w:rPr>
          <w:rFonts w:cs="宋体" w:asciiTheme="minorEastAsia" w:hAnsiTheme="minorEastAsia"/>
          <w:sz w:val="24"/>
          <w:szCs w:val="24"/>
        </w:rPr>
      </w:pPr>
    </w:p>
    <w:p>
      <w:pPr>
        <w:widowControl/>
        <w:jc w:val="left"/>
        <w:rPr>
          <w:rFonts w:ascii="黑体" w:hAnsi="黑体" w:eastAsia="黑体" w:cs="Times New Roman"/>
          <w:bCs/>
          <w:kern w:val="0"/>
          <w:sz w:val="28"/>
          <w:szCs w:val="28"/>
        </w:rPr>
      </w:pPr>
      <w:bookmarkStart w:id="45" w:name="_Toc92976616"/>
      <w:r>
        <w:br w:type="page"/>
      </w:r>
    </w:p>
    <w:p>
      <w:pPr>
        <w:pStyle w:val="122"/>
      </w:pPr>
      <w:r>
        <w:rPr>
          <w:rFonts w:hint="eastAsia"/>
        </w:rPr>
        <w:t>二．供应商须知</w:t>
      </w:r>
      <w:bookmarkEnd w:id="36"/>
      <w:bookmarkEnd w:id="45"/>
    </w:p>
    <w:p>
      <w:pPr>
        <w:spacing w:line="360" w:lineRule="auto"/>
        <w:ind w:firstLine="482" w:firstLineChars="200"/>
        <w:rPr>
          <w:b/>
          <w:bCs/>
          <w:sz w:val="24"/>
          <w:szCs w:val="24"/>
        </w:rPr>
      </w:pPr>
      <w:r>
        <w:rPr>
          <w:rFonts w:hint="eastAsia"/>
          <w:b/>
          <w:bCs/>
          <w:sz w:val="24"/>
          <w:szCs w:val="24"/>
        </w:rPr>
        <w:t>一、遵循原则</w:t>
      </w:r>
    </w:p>
    <w:p>
      <w:pPr>
        <w:spacing w:line="360" w:lineRule="auto"/>
        <w:ind w:firstLine="480" w:firstLineChars="200"/>
        <w:rPr>
          <w:rFonts w:ascii="黑体" w:hAnsi="宋体" w:eastAsia="黑体"/>
          <w:bCs/>
          <w:color w:val="000000" w:themeColor="text1"/>
          <w:sz w:val="24"/>
          <w:szCs w:val="24"/>
        </w:rPr>
      </w:pPr>
      <w:r>
        <w:rPr>
          <w:rFonts w:hint="eastAsia" w:ascii="宋体" w:hAnsi="宋体"/>
          <w:bCs/>
          <w:color w:val="000000" w:themeColor="text1"/>
          <w:sz w:val="24"/>
          <w:szCs w:val="24"/>
        </w:rPr>
        <w:t>公开透明原则、公平竞争原则、公正原则和诚实信用原则。</w:t>
      </w:r>
    </w:p>
    <w:p>
      <w:pPr>
        <w:spacing w:line="360" w:lineRule="auto"/>
        <w:ind w:firstLine="482" w:firstLineChars="200"/>
        <w:rPr>
          <w:b/>
          <w:bCs/>
          <w:sz w:val="24"/>
          <w:szCs w:val="24"/>
        </w:rPr>
      </w:pPr>
      <w:r>
        <w:rPr>
          <w:rFonts w:hint="eastAsia"/>
          <w:b/>
          <w:bCs/>
          <w:sz w:val="24"/>
          <w:szCs w:val="24"/>
        </w:rPr>
        <w:t>二、采购文件</w:t>
      </w:r>
    </w:p>
    <w:p>
      <w:pPr>
        <w:tabs>
          <w:tab w:val="left" w:pos="-126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w:t>
      </w:r>
      <w:r>
        <w:rPr>
          <w:rFonts w:hint="eastAsia" w:ascii="宋体" w:hAnsi="宋体"/>
          <w:bCs/>
          <w:color w:val="000000"/>
          <w:sz w:val="24"/>
          <w:szCs w:val="24"/>
        </w:rPr>
        <w:t>供应商应在获取采购文件及有关资料后，按要求制作</w:t>
      </w:r>
      <w:r>
        <w:rPr>
          <w:rFonts w:hint="eastAsia" w:ascii="宋体" w:hAnsi="宋体"/>
          <w:sz w:val="24"/>
        </w:rPr>
        <w:t>投标文件</w:t>
      </w:r>
      <w:r>
        <w:rPr>
          <w:rFonts w:hint="eastAsia" w:ascii="宋体" w:hAnsi="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4.采购文件仅作为本次采购报价使用。</w:t>
      </w:r>
    </w:p>
    <w:p>
      <w:pPr>
        <w:spacing w:line="360" w:lineRule="auto"/>
        <w:ind w:firstLine="482" w:firstLineChars="200"/>
        <w:rPr>
          <w:b/>
          <w:bCs/>
          <w:sz w:val="24"/>
          <w:szCs w:val="24"/>
        </w:rPr>
      </w:pPr>
      <w:r>
        <w:rPr>
          <w:rFonts w:hint="eastAsia"/>
          <w:b/>
          <w:bCs/>
          <w:sz w:val="24"/>
          <w:szCs w:val="24"/>
        </w:rPr>
        <w:t>三、采购文件的解释</w:t>
      </w:r>
    </w:p>
    <w:p>
      <w:pPr>
        <w:tabs>
          <w:tab w:val="left" w:pos="945"/>
        </w:tabs>
        <w:spacing w:line="360" w:lineRule="auto"/>
        <w:ind w:left="523"/>
        <w:rPr>
          <w:rFonts w:ascii="宋体"/>
          <w:bCs/>
          <w:color w:val="000000" w:themeColor="text1"/>
          <w:sz w:val="24"/>
          <w:szCs w:val="24"/>
        </w:rPr>
      </w:pPr>
      <w:r>
        <w:rPr>
          <w:rFonts w:hint="eastAsia" w:ascii="宋体" w:hAnsi="宋体"/>
          <w:bCs/>
          <w:color w:val="000000" w:themeColor="text1"/>
          <w:sz w:val="24"/>
          <w:szCs w:val="24"/>
        </w:rPr>
        <w:t>本文件的最终解释权归江苏仁禾中衡工程咨询房地产估价有限公司。</w:t>
      </w:r>
    </w:p>
    <w:p>
      <w:pPr>
        <w:spacing w:line="360" w:lineRule="auto"/>
        <w:ind w:firstLine="482" w:firstLineChars="200"/>
        <w:rPr>
          <w:b/>
          <w:bCs/>
          <w:sz w:val="24"/>
          <w:szCs w:val="24"/>
        </w:rPr>
      </w:pPr>
      <w:r>
        <w:rPr>
          <w:rFonts w:hint="eastAsia"/>
          <w:b/>
          <w:bCs/>
          <w:sz w:val="24"/>
          <w:szCs w:val="24"/>
        </w:rPr>
        <w:t>四、采购文件的补充或修正</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1.供应商在收到采购文件后，如有疑问需要询问和澄清，应在响应文件提交截止时间的15日前以书面形式向采购人提出，如无疑问,视作供应商完全响应采购文件的条款和要求。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4.更正公告以江苏仁禾中衡工程咨询房地产估价有限公司网（</w:t>
      </w:r>
      <w:r>
        <w:rPr>
          <w:rFonts w:ascii="宋体" w:hAnsi="宋体"/>
          <w:bCs/>
          <w:color w:val="000000" w:themeColor="text1"/>
          <w:sz w:val="24"/>
          <w:szCs w:val="24"/>
        </w:rPr>
        <w:t>http://www.jsrhzh.com/info.asp?id=1</w:t>
      </w:r>
      <w:r>
        <w:rPr>
          <w:rFonts w:hint="eastAsia" w:ascii="宋体" w:hAnsi="宋体"/>
          <w:bCs/>
          <w:color w:val="000000" w:themeColor="text1"/>
          <w:sz w:val="24"/>
          <w:szCs w:val="24"/>
        </w:rPr>
        <w:t>）所发布的为准。</w:t>
      </w:r>
    </w:p>
    <w:p>
      <w:pPr>
        <w:pStyle w:val="110"/>
        <w:numPr>
          <w:ilvl w:val="0"/>
          <w:numId w:val="2"/>
        </w:numPr>
        <w:spacing w:line="360" w:lineRule="auto"/>
        <w:ind w:firstLineChars="0"/>
        <w:rPr>
          <w:b/>
          <w:bCs/>
          <w:sz w:val="24"/>
          <w:szCs w:val="24"/>
        </w:rPr>
      </w:pPr>
      <w:r>
        <w:rPr>
          <w:rFonts w:hint="eastAsia"/>
          <w:b/>
          <w:bCs/>
          <w:sz w:val="24"/>
          <w:szCs w:val="24"/>
        </w:rPr>
        <w:t>响应文件的组成</w:t>
      </w:r>
    </w:p>
    <w:p>
      <w:pPr>
        <w:tabs>
          <w:tab w:val="left" w:pos="525"/>
          <w:tab w:val="left" w:pos="945"/>
          <w:tab w:val="left" w:pos="3255"/>
        </w:tabs>
        <w:spacing w:line="360" w:lineRule="auto"/>
        <w:ind w:left="480"/>
        <w:rPr>
          <w:rFonts w:ascii="宋体"/>
          <w:bCs/>
          <w:color w:val="000000" w:themeColor="text1"/>
          <w:sz w:val="24"/>
          <w:szCs w:val="24"/>
        </w:rPr>
      </w:pPr>
      <w:r>
        <w:rPr>
          <w:rFonts w:hint="eastAsia" w:ascii="宋体"/>
          <w:bCs/>
          <w:color w:val="000000" w:themeColor="text1"/>
          <w:sz w:val="24"/>
          <w:szCs w:val="24"/>
        </w:rPr>
        <w:t>1.供应商情况说明</w:t>
      </w:r>
    </w:p>
    <w:p>
      <w:pPr>
        <w:tabs>
          <w:tab w:val="left" w:pos="525"/>
          <w:tab w:val="left" w:pos="630"/>
          <w:tab w:val="left" w:pos="945"/>
        </w:tabs>
        <w:spacing w:line="360" w:lineRule="auto"/>
        <w:ind w:firstLine="480" w:firstLineChars="200"/>
        <w:rPr>
          <w:rFonts w:ascii="宋体"/>
          <w:bCs/>
          <w:color w:val="000000" w:themeColor="text1"/>
          <w:sz w:val="24"/>
          <w:szCs w:val="24"/>
        </w:rPr>
      </w:pPr>
      <w:r>
        <w:rPr>
          <w:rFonts w:hint="eastAsia" w:ascii="宋体"/>
          <w:bCs/>
          <w:color w:val="000000" w:themeColor="text1"/>
          <w:sz w:val="24"/>
          <w:szCs w:val="24"/>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bCs/>
          <w:color w:val="000000" w:themeColor="text1"/>
          <w:sz w:val="24"/>
          <w:szCs w:val="24"/>
        </w:rPr>
      </w:pPr>
      <w:r>
        <w:rPr>
          <w:rFonts w:hint="eastAsia" w:ascii="宋体" w:hAnsi="宋体"/>
          <w:bCs/>
          <w:color w:val="000000" w:themeColor="text1"/>
          <w:sz w:val="24"/>
          <w:szCs w:val="24"/>
        </w:rPr>
        <w:t>2.响应函（格式见附件）</w:t>
      </w:r>
    </w:p>
    <w:p>
      <w:pPr>
        <w:tabs>
          <w:tab w:val="left" w:pos="525"/>
          <w:tab w:val="left" w:pos="945"/>
          <w:tab w:val="left" w:pos="3255"/>
        </w:tabs>
        <w:spacing w:line="360" w:lineRule="auto"/>
        <w:ind w:left="524"/>
        <w:rPr>
          <w:rFonts w:ascii="宋体"/>
          <w:bCs/>
          <w:color w:val="000000" w:themeColor="text1"/>
          <w:sz w:val="24"/>
          <w:szCs w:val="24"/>
        </w:rPr>
      </w:pPr>
      <w:r>
        <w:rPr>
          <w:rFonts w:hint="eastAsia" w:ascii="宋体" w:hAnsi="宋体"/>
          <w:bCs/>
          <w:color w:val="000000" w:themeColor="text1"/>
          <w:sz w:val="24"/>
          <w:szCs w:val="24"/>
        </w:rPr>
        <w:t>3.资格、资信证明文件：</w:t>
      </w:r>
    </w:p>
    <w:p>
      <w:pPr>
        <w:tabs>
          <w:tab w:val="left" w:pos="630"/>
          <w:tab w:val="left" w:pos="1276"/>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（1）关于资格的声明函（</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630"/>
          <w:tab w:val="left" w:pos="1276"/>
        </w:tabs>
        <w:spacing w:line="360" w:lineRule="auto"/>
        <w:ind w:firstLine="480" w:firstLineChars="200"/>
        <w:rPr>
          <w:rFonts w:ascii="宋体" w:hAnsi="宋体"/>
          <w:bCs/>
          <w:color w:val="000000" w:themeColor="text1"/>
          <w:sz w:val="24"/>
          <w:szCs w:val="24"/>
        </w:rPr>
      </w:pPr>
      <w:r>
        <w:rPr>
          <w:rFonts w:hint="eastAsia" w:ascii="宋体" w:hAnsi="宋体" w:cs="宋体"/>
          <w:sz w:val="24"/>
        </w:rPr>
        <w:t>（2）法定代表人资格证明书/法定代表人授权委托书（</w:t>
      </w:r>
      <w:r>
        <w:rPr>
          <w:rFonts w:hint="eastAsia" w:ascii="宋体" w:hAnsi="宋体" w:cs="宋体"/>
          <w:b/>
          <w:sz w:val="24"/>
        </w:rPr>
        <w:t>格式见附件</w:t>
      </w:r>
      <w:r>
        <w:rPr>
          <w:rFonts w:hint="eastAsia" w:ascii="宋体" w:hAnsi="宋体" w:cs="宋体"/>
          <w:sz w:val="24"/>
        </w:rPr>
        <w:t>）；</w:t>
      </w:r>
    </w:p>
    <w:p>
      <w:pPr>
        <w:tabs>
          <w:tab w:val="left" w:pos="630"/>
          <w:tab w:val="left" w:pos="1276"/>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（4）供应商近三个月中任意一个月份</w:t>
      </w:r>
      <w:r>
        <w:rPr>
          <w:rFonts w:ascii="宋体" w:hAnsi="宋体"/>
          <w:bCs/>
          <w:color w:val="000000" w:themeColor="text1"/>
          <w:sz w:val="24"/>
          <w:szCs w:val="24"/>
        </w:rPr>
        <w:t>(</w:t>
      </w:r>
      <w:r>
        <w:rPr>
          <w:rFonts w:hint="eastAsia" w:ascii="宋体" w:hAnsi="宋体"/>
          <w:bCs/>
          <w:color w:val="000000" w:themeColor="text1"/>
          <w:sz w:val="24"/>
          <w:szCs w:val="24"/>
        </w:rPr>
        <w:t>不含报价当月</w:t>
      </w:r>
      <w:r>
        <w:rPr>
          <w:rFonts w:ascii="宋体" w:hAnsi="宋体"/>
          <w:bCs/>
          <w:color w:val="000000" w:themeColor="text1"/>
          <w:sz w:val="24"/>
          <w:szCs w:val="24"/>
        </w:rPr>
        <w:t>)</w:t>
      </w:r>
      <w:r>
        <w:rPr>
          <w:rFonts w:hint="eastAsia" w:ascii="宋体" w:hAnsi="宋体"/>
          <w:bCs/>
          <w:color w:val="000000" w:themeColor="text1"/>
          <w:sz w:val="24"/>
          <w:szCs w:val="24"/>
        </w:rPr>
        <w:t>的财务状况报告（资产负债表和利润表）或由会计师事务所出具的近两年中任意一个年度的审计报告和所附已审财务报告</w:t>
      </w:r>
      <w:r>
        <w:rPr>
          <w:rFonts w:hint="eastAsia" w:ascii="宋体" w:hAnsi="宋体"/>
          <w:b/>
          <w:sz w:val="24"/>
        </w:rPr>
        <w:t>（复印件，成立不满一年不需提供）</w:t>
      </w:r>
      <w:r>
        <w:rPr>
          <w:rFonts w:hint="eastAsia" w:ascii="宋体" w:hAnsi="宋体"/>
          <w:bCs/>
          <w:color w:val="000000" w:themeColor="text1"/>
          <w:sz w:val="24"/>
          <w:szCs w:val="24"/>
        </w:rPr>
        <w:t>；</w:t>
      </w:r>
    </w:p>
    <w:p>
      <w:pPr>
        <w:tabs>
          <w:tab w:val="left" w:pos="630"/>
          <w:tab w:val="left" w:pos="945"/>
          <w:tab w:val="left" w:pos="1276"/>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（5）供应商近三个月中任意一个月份</w:t>
      </w:r>
      <w:r>
        <w:rPr>
          <w:rFonts w:ascii="宋体" w:hAnsi="宋体"/>
          <w:bCs/>
          <w:color w:val="000000" w:themeColor="text1"/>
          <w:sz w:val="24"/>
          <w:szCs w:val="24"/>
        </w:rPr>
        <w:t>(</w:t>
      </w:r>
      <w:r>
        <w:rPr>
          <w:rFonts w:hint="eastAsia" w:ascii="宋体" w:hAnsi="宋体"/>
          <w:bCs/>
          <w:color w:val="000000" w:themeColor="text1"/>
          <w:sz w:val="24"/>
          <w:szCs w:val="24"/>
        </w:rPr>
        <w:t>不含报价当月</w:t>
      </w:r>
      <w:r>
        <w:rPr>
          <w:rFonts w:ascii="宋体" w:hAnsi="宋体"/>
          <w:bCs/>
          <w:color w:val="000000" w:themeColor="text1"/>
          <w:sz w:val="24"/>
          <w:szCs w:val="24"/>
        </w:rPr>
        <w:t>)</w:t>
      </w:r>
      <w:r>
        <w:rPr>
          <w:rFonts w:hint="eastAsia" w:ascii="宋体" w:hAnsi="宋体"/>
          <w:bCs/>
          <w:color w:val="000000" w:themeColor="text1"/>
          <w:sz w:val="24"/>
          <w:szCs w:val="24"/>
        </w:rPr>
        <w:t>的依法缴纳税收的相关材料（提供相关主管部门证明或银行代扣证明）；</w:t>
      </w:r>
    </w:p>
    <w:p>
      <w:pPr>
        <w:tabs>
          <w:tab w:val="left" w:pos="630"/>
          <w:tab w:val="left" w:pos="945"/>
          <w:tab w:val="left" w:pos="1276"/>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（6）供应商近三个月中任意一个月份</w:t>
      </w:r>
      <w:r>
        <w:rPr>
          <w:rFonts w:ascii="宋体" w:hAnsi="宋体"/>
          <w:bCs/>
          <w:color w:val="000000" w:themeColor="text1"/>
          <w:sz w:val="24"/>
          <w:szCs w:val="24"/>
        </w:rPr>
        <w:t>(</w:t>
      </w:r>
      <w:r>
        <w:rPr>
          <w:rFonts w:hint="eastAsia" w:ascii="宋体" w:hAnsi="宋体"/>
          <w:bCs/>
          <w:color w:val="000000" w:themeColor="text1"/>
          <w:sz w:val="24"/>
          <w:szCs w:val="24"/>
        </w:rPr>
        <w:t>不含报价当月</w:t>
      </w:r>
      <w:r>
        <w:rPr>
          <w:rFonts w:ascii="宋体" w:hAnsi="宋体"/>
          <w:bCs/>
          <w:color w:val="000000" w:themeColor="text1"/>
          <w:sz w:val="24"/>
          <w:szCs w:val="24"/>
        </w:rPr>
        <w:t>)</w:t>
      </w:r>
      <w:r>
        <w:rPr>
          <w:rFonts w:hint="eastAsia" w:ascii="宋体" w:hAnsi="宋体"/>
          <w:bCs/>
          <w:color w:val="000000" w:themeColor="text1"/>
          <w:sz w:val="24"/>
          <w:szCs w:val="24"/>
        </w:rPr>
        <w:t>的依法缴纳社会保障资金的相关材料（提供相关主管部门证明或银行代扣证明）；</w:t>
      </w:r>
    </w:p>
    <w:p>
      <w:pPr>
        <w:tabs>
          <w:tab w:val="left" w:pos="630"/>
          <w:tab w:val="left" w:pos="945"/>
          <w:tab w:val="left" w:pos="1276"/>
        </w:tabs>
        <w:spacing w:line="360" w:lineRule="auto"/>
        <w:ind w:firstLine="480" w:firstLineChars="200"/>
        <w:rPr>
          <w:rFonts w:ascii="宋体" w:hAnsi="宋体"/>
          <w:sz w:val="24"/>
        </w:rPr>
      </w:pPr>
      <w:r>
        <w:rPr>
          <w:rFonts w:hint="eastAsia" w:ascii="宋体" w:hAnsi="宋体"/>
          <w:bCs/>
          <w:color w:val="000000" w:themeColor="text1"/>
          <w:sz w:val="24"/>
          <w:szCs w:val="24"/>
        </w:rPr>
        <w:t>（7）</w:t>
      </w:r>
      <w:r>
        <w:rPr>
          <w:rFonts w:hint="eastAsia" w:ascii="宋体" w:hAnsi="宋体"/>
          <w:sz w:val="24"/>
        </w:rPr>
        <w:t>具备履行合同所必需的设备和专业技术能力的书面声明（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bCs/>
          <w:color w:val="000000" w:themeColor="text1"/>
          <w:sz w:val="24"/>
          <w:szCs w:val="24"/>
        </w:rPr>
      </w:pPr>
      <w:r>
        <w:rPr>
          <w:rFonts w:hint="eastAsia" w:ascii="宋体" w:hAnsi="宋体"/>
          <w:sz w:val="24"/>
        </w:rPr>
        <w:t>（8）参加政府采购活动前 3 年内在经营活动中没有重大违法记录的书面声明（</w:t>
      </w:r>
      <w:r>
        <w:rPr>
          <w:rFonts w:hint="eastAsia" w:ascii="宋体" w:hAnsi="宋体" w:cs="宋体"/>
          <w:b/>
          <w:sz w:val="24"/>
        </w:rPr>
        <w:t>格式见附件</w:t>
      </w:r>
      <w:r>
        <w:rPr>
          <w:rFonts w:hint="eastAsia" w:ascii="宋体" w:hAnsi="宋体"/>
          <w:sz w:val="24"/>
        </w:rPr>
        <w:t>）；</w:t>
      </w:r>
    </w:p>
    <w:p>
      <w:pPr>
        <w:pStyle w:val="110"/>
        <w:numPr>
          <w:ilvl w:val="0"/>
          <w:numId w:val="3"/>
        </w:numPr>
        <w:tabs>
          <w:tab w:val="left" w:pos="630"/>
          <w:tab w:val="left" w:pos="945"/>
          <w:tab w:val="left" w:pos="1276"/>
        </w:tabs>
        <w:spacing w:line="360" w:lineRule="auto"/>
        <w:ind w:firstLineChars="0"/>
        <w:rPr>
          <w:rFonts w:ascii="宋体" w:hAnsi="宋体"/>
          <w:bCs/>
          <w:color w:val="000000" w:themeColor="text1"/>
          <w:sz w:val="24"/>
          <w:szCs w:val="24"/>
        </w:rPr>
      </w:pPr>
      <w:r>
        <w:rPr>
          <w:rFonts w:hint="eastAsia" w:ascii="宋体" w:hAnsi="宋体"/>
          <w:bCs/>
          <w:color w:val="000000" w:themeColor="text1"/>
          <w:sz w:val="24"/>
          <w:szCs w:val="24"/>
        </w:rPr>
        <w:t>采购人要求的特定资质证明</w:t>
      </w:r>
      <w:r>
        <w:rPr>
          <w:rFonts w:hint="eastAsia" w:ascii="宋体" w:hAnsi="宋体"/>
          <w:bCs/>
          <w:color w:val="000000" w:themeColor="text1"/>
          <w:sz w:val="24"/>
          <w:szCs w:val="24"/>
          <w:lang w:eastAsia="zh-CN"/>
        </w:rPr>
        <w:t>：</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 xml:space="preserve">①提供有效的公路工程试验检测综合乙级及以上资质证书； </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②提供省级及以上质量技术监督部门颁发的有效计量认证证书（需含有交通安全设施）；</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③供应商自2016年1月1日至今承担过交通安全设施检测项目，提供合同复印件加盖公章；</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④提供本项目项目负责人有高级工程师及以上职称证书复印件加盖公章；</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⑤提供本项目的项目负责人具有交通部颁发的试验检测工程师资格证书（公路、道路、交安或材料），复印件加盖公章；</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⑥项目负责人曾担任过交通安全设施检测项目（包括交通安全设施、标志标线、生命安全防护工程）的项目负责人或技术负责人，提供相关证明材料加盖公章；</w:t>
      </w:r>
    </w:p>
    <w:p>
      <w:pPr>
        <w:pStyle w:val="110"/>
        <w:numPr>
          <w:ilvl w:val="0"/>
          <w:numId w:val="0"/>
        </w:numPr>
        <w:tabs>
          <w:tab w:val="left" w:pos="630"/>
          <w:tab w:val="left" w:pos="945"/>
          <w:tab w:val="left" w:pos="1276"/>
        </w:tabs>
        <w:spacing w:line="360" w:lineRule="auto"/>
        <w:ind w:left="480" w:leftChars="0"/>
        <w:rPr>
          <w:rFonts w:hint="eastAsia" w:ascii="宋体" w:hAnsi="宋体" w:eastAsiaTheme="minorEastAsia" w:cstheme="minorBidi"/>
          <w:bCs/>
          <w:color w:val="auto"/>
          <w:kern w:val="2"/>
          <w:sz w:val="24"/>
          <w:szCs w:val="24"/>
          <w:lang w:val="en-US" w:eastAsia="zh-CN" w:bidi="ar-SA"/>
        </w:rPr>
      </w:pPr>
      <w:r>
        <w:rPr>
          <w:rFonts w:hint="eastAsia" w:ascii="宋体" w:hAnsi="宋体" w:eastAsiaTheme="minorEastAsia" w:cstheme="minorBidi"/>
          <w:bCs/>
          <w:color w:val="auto"/>
          <w:kern w:val="2"/>
          <w:sz w:val="24"/>
          <w:szCs w:val="24"/>
          <w:lang w:val="en-US" w:eastAsia="zh-CN" w:bidi="ar-SA"/>
        </w:rPr>
        <w:t>⑦投标文件递交截止日当天，在江苏省交通行业与产业项目招标投标信息系统中信用等级评价为A级(含A暂定)或以上级别。</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4.报价一览表（</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5.明细报价表（</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6.技术参数偏离表（</w:t>
      </w:r>
      <w:r>
        <w:rPr>
          <w:rFonts w:hint="eastAsia" w:ascii="宋体" w:hAnsi="宋体"/>
          <w:b/>
          <w:bCs/>
          <w:color w:val="000000" w:themeColor="text1"/>
          <w:sz w:val="24"/>
          <w:szCs w:val="24"/>
        </w:rPr>
        <w:t>格式见附件</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7.评分标准中对应的其它所需证明材料（</w:t>
      </w:r>
      <w:r>
        <w:rPr>
          <w:rFonts w:hint="eastAsia" w:ascii="宋体" w:hAnsi="宋体"/>
          <w:b/>
          <w:bCs/>
          <w:color w:val="000000" w:themeColor="text1"/>
          <w:sz w:val="24"/>
          <w:szCs w:val="24"/>
        </w:rPr>
        <w:t>如有自行添加</w:t>
      </w:r>
      <w:r>
        <w:rPr>
          <w:rFonts w:hint="eastAsia" w:ascii="宋体" w:hAnsi="宋体"/>
          <w:bCs/>
          <w:color w:val="000000" w:themeColor="text1"/>
          <w:sz w:val="24"/>
          <w:szCs w:val="24"/>
        </w:rPr>
        <w:t>）；</w:t>
      </w:r>
    </w:p>
    <w:p>
      <w:pPr>
        <w:tabs>
          <w:tab w:val="left" w:pos="525"/>
          <w:tab w:val="left" w:pos="945"/>
          <w:tab w:val="left" w:pos="3255"/>
        </w:tabs>
        <w:spacing w:line="360" w:lineRule="auto"/>
        <w:ind w:left="524"/>
        <w:rPr>
          <w:rFonts w:ascii="宋体" w:hAnsi="宋体"/>
          <w:bCs/>
          <w:color w:val="000000" w:themeColor="text1"/>
          <w:sz w:val="24"/>
          <w:szCs w:val="24"/>
        </w:rPr>
      </w:pPr>
      <w:r>
        <w:rPr>
          <w:rFonts w:hint="eastAsia" w:ascii="宋体" w:hAnsi="宋体"/>
          <w:bCs/>
          <w:color w:val="000000" w:themeColor="text1"/>
          <w:sz w:val="24"/>
          <w:szCs w:val="24"/>
        </w:rPr>
        <w:t>8.采购文件要求供应商提供的和供应商认为与本项目有关的并可以提供的其它相关的证明材料（</w:t>
      </w:r>
      <w:r>
        <w:rPr>
          <w:rFonts w:hint="eastAsia" w:ascii="宋体" w:hAnsi="宋体"/>
          <w:b/>
          <w:bCs/>
          <w:color w:val="000000" w:themeColor="text1"/>
          <w:sz w:val="24"/>
          <w:szCs w:val="24"/>
        </w:rPr>
        <w:t>如有自拟并自行添加</w:t>
      </w:r>
      <w:r>
        <w:rPr>
          <w:rFonts w:hint="eastAsia" w:ascii="宋体" w:hAnsi="宋体"/>
          <w:bCs/>
          <w:color w:val="000000" w:themeColor="text1"/>
          <w:sz w:val="24"/>
          <w:szCs w:val="24"/>
        </w:rPr>
        <w:t>）；</w:t>
      </w:r>
    </w:p>
    <w:p>
      <w:pPr>
        <w:tabs>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上述2-6项供应商必须按要求全部提供</w:t>
      </w:r>
      <w:r>
        <w:rPr>
          <w:rFonts w:hint="eastAsia" w:ascii="宋体" w:hAnsi="宋体"/>
          <w:b/>
          <w:bCs/>
          <w:color w:val="000000" w:themeColor="text1"/>
          <w:sz w:val="24"/>
          <w:szCs w:val="24"/>
        </w:rPr>
        <w:t>（如投标人组成联合体投标，参加联合体的各方均需提供）</w:t>
      </w:r>
      <w:r>
        <w:rPr>
          <w:rFonts w:hint="eastAsia" w:ascii="宋体" w:hAnsi="宋体"/>
          <w:bCs/>
          <w:color w:val="000000" w:themeColor="text1"/>
          <w:sz w:val="24"/>
          <w:szCs w:val="24"/>
        </w:rPr>
        <w:t>，否则响应文件无效。</w:t>
      </w:r>
      <w:r>
        <w:rPr>
          <w:rFonts w:hint="eastAsia" w:ascii="Tahoma" w:hAnsi="Tahoma" w:cs="Tahoma"/>
          <w:color w:val="000000" w:themeColor="text1"/>
          <w:sz w:val="24"/>
          <w:szCs w:val="24"/>
        </w:rPr>
        <w:t>如上述资格证明文件遇年检、换证，则必须提供法定年检、换证单位出具的有效证明复印件。如上述资格证明文件第</w:t>
      </w:r>
      <w:r>
        <w:rPr>
          <w:rFonts w:hint="eastAsia" w:ascii="宋体" w:hAnsi="宋体" w:cs="Tahoma"/>
          <w:color w:val="000000" w:themeColor="text1"/>
          <w:sz w:val="24"/>
          <w:szCs w:val="24"/>
        </w:rPr>
        <w:t>（4）（5）（6）</w:t>
      </w:r>
      <w:r>
        <w:rPr>
          <w:rFonts w:hint="eastAsia" w:ascii="Tahoma" w:hAnsi="Tahoma" w:cs="Tahoma"/>
          <w:color w:val="000000" w:themeColor="text1"/>
          <w:sz w:val="24"/>
          <w:szCs w:val="24"/>
        </w:rPr>
        <w:t>三项遇有国家相关政策规定可不具备的，必须提供相关政策规定或相关单位出具的有效证明复印件。</w:t>
      </w:r>
      <w:r>
        <w:rPr>
          <w:rFonts w:hint="eastAsia" w:ascii="宋体" w:hAnsi="宋体"/>
          <w:bCs/>
          <w:color w:val="000000" w:themeColor="text1"/>
          <w:sz w:val="24"/>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2" w:firstLineChars="200"/>
        <w:rPr>
          <w:rFonts w:ascii="宋体" w:hAnsi="宋体"/>
          <w:b/>
          <w:bCs/>
          <w:color w:val="000000" w:themeColor="text1"/>
          <w:sz w:val="24"/>
          <w:szCs w:val="24"/>
        </w:rPr>
      </w:pPr>
      <w:r>
        <w:rPr>
          <w:rFonts w:hint="eastAsia"/>
          <w:b/>
          <w:bCs/>
          <w:sz w:val="24"/>
          <w:szCs w:val="24"/>
        </w:rPr>
        <w:t>六、</w:t>
      </w:r>
      <w:r>
        <w:rPr>
          <w:rFonts w:hint="eastAsia" w:ascii="宋体" w:hAnsi="宋体"/>
          <w:b/>
          <w:bCs/>
          <w:color w:val="000000" w:themeColor="text1"/>
          <w:sz w:val="24"/>
          <w:szCs w:val="24"/>
        </w:rPr>
        <w:t>投标保证金</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（一）未按要求提交投标保证金的，其投标将作为无效投标不予参加评审。</w:t>
      </w:r>
    </w:p>
    <w:p>
      <w:pPr>
        <w:tabs>
          <w:tab w:val="left" w:pos="945"/>
        </w:tabs>
        <w:spacing w:line="360" w:lineRule="auto"/>
        <w:ind w:firstLine="480" w:firstLineChars="200"/>
        <w:rPr>
          <w:rFonts w:ascii="宋体" w:hAnsi="宋体"/>
          <w:b/>
          <w:bCs/>
          <w:color w:val="000000" w:themeColor="text1"/>
          <w:sz w:val="24"/>
          <w:szCs w:val="24"/>
        </w:rPr>
      </w:pPr>
      <w:r>
        <w:rPr>
          <w:rFonts w:hint="eastAsia" w:ascii="宋体" w:hAnsi="宋体"/>
          <w:bCs/>
          <w:color w:val="000000" w:themeColor="text1"/>
          <w:sz w:val="24"/>
          <w:szCs w:val="24"/>
        </w:rPr>
        <w:t>（二）未中标的供应商的投标保证金，在成交通知书发出后</w:t>
      </w:r>
      <w:r>
        <w:rPr>
          <w:rFonts w:ascii="宋体" w:hAnsi="宋体"/>
          <w:bCs/>
          <w:color w:val="000000" w:themeColor="text1"/>
          <w:sz w:val="24"/>
          <w:szCs w:val="24"/>
        </w:rPr>
        <w:t>5个工作日内无息退回。</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（三）中标供应商的投标保证金，在中标供应商签订合同（合同须由采购代理机构备案）后，5个工作日内予以无息退还。</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（四）供应商出现下列情况之一的，投标保证金不予退还：</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1.在投标有效期内，撤回投标的；</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2.中标后不按采购文件规定提交履约保证金的；</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3.中标后无正当理由不与采购人签订合同的；</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4.投标人提供的有关资料、资格证明文件被确认是不真实的或供应商之间被证实有串通（统一哄抬价格）、欺诈行为；</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5.供应商被证明有妨碍其他人公平竞争、损害代理机构或者其他供应商合法权益的；</w:t>
      </w:r>
    </w:p>
    <w:p>
      <w:pPr>
        <w:tabs>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6.供应商无故缺席投标活动或未按照采购文件规定的开标时间准时到达开标现场；</w:t>
      </w:r>
    </w:p>
    <w:p>
      <w:pPr>
        <w:spacing w:line="360" w:lineRule="auto"/>
        <w:ind w:firstLine="480" w:firstLineChars="200"/>
        <w:rPr>
          <w:bCs/>
          <w:sz w:val="24"/>
          <w:szCs w:val="24"/>
        </w:rPr>
      </w:pPr>
      <w:r>
        <w:rPr>
          <w:rFonts w:hint="eastAsia" w:ascii="宋体" w:hAnsi="宋体"/>
          <w:bCs/>
          <w:color w:val="000000" w:themeColor="text1"/>
          <w:sz w:val="24"/>
          <w:szCs w:val="24"/>
        </w:rPr>
        <w:t>7.存在违法违规行为的。</w:t>
      </w:r>
    </w:p>
    <w:p>
      <w:pPr>
        <w:spacing w:line="360" w:lineRule="auto"/>
        <w:ind w:firstLine="482" w:firstLineChars="200"/>
        <w:rPr>
          <w:b/>
          <w:bCs/>
          <w:sz w:val="24"/>
          <w:szCs w:val="24"/>
        </w:rPr>
      </w:pPr>
      <w:r>
        <w:rPr>
          <w:rFonts w:hint="eastAsia"/>
          <w:b/>
          <w:bCs/>
          <w:sz w:val="24"/>
          <w:szCs w:val="24"/>
        </w:rPr>
        <w:t>七、响应文件的制作</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1.响应文件共一式叁份，“正本”壹份、“副本”贰份。在每一份响应文件上要标明“正本”或“副本”字样，一旦正本和副本有差异，以正本为准,正本、副本应分别装订成册并密封。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sz w:val="24"/>
        </w:rPr>
      </w:pPr>
      <w:r>
        <w:rPr>
          <w:rFonts w:hint="eastAsia" w:ascii="宋体" w:hAnsi="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4.所有文件、往来函件均应使用简体中文（规格、型号辅助符号例外）。</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5.响应</w:t>
      </w:r>
      <w:r>
        <w:rPr>
          <w:rFonts w:hint="eastAsia" w:ascii="宋体" w:hAnsi="宋体"/>
          <w:bCs/>
          <w:color w:val="000000" w:themeColor="text1"/>
          <w:sz w:val="24"/>
          <w:szCs w:val="24"/>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color w:val="000000" w:themeColor="text1"/>
          <w:sz w:val="24"/>
          <w:szCs w:val="24"/>
          <w:lang w:val="zh-CN"/>
        </w:rPr>
        <w:t>6.如无特别说明，</w:t>
      </w:r>
      <w:r>
        <w:rPr>
          <w:rFonts w:hint="eastAsia" w:ascii="宋体" w:hAnsi="宋体"/>
          <w:bCs/>
          <w:color w:val="000000" w:themeColor="text1"/>
          <w:sz w:val="24"/>
          <w:szCs w:val="24"/>
        </w:rPr>
        <w:t>供应商报价一律以人民币为投标结算货币</w:t>
      </w:r>
      <w:r>
        <w:rPr>
          <w:rFonts w:ascii="宋体"/>
          <w:bCs/>
          <w:color w:val="000000" w:themeColor="text1"/>
          <w:sz w:val="24"/>
          <w:szCs w:val="24"/>
        </w:rPr>
        <w:t>,</w:t>
      </w:r>
      <w:r>
        <w:rPr>
          <w:rFonts w:hint="eastAsia" w:ascii="宋体" w:hAnsi="宋体"/>
          <w:bCs/>
          <w:color w:val="000000" w:themeColor="text1"/>
          <w:sz w:val="24"/>
          <w:szCs w:val="24"/>
        </w:rPr>
        <w:t>结算单位为“元”。</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7.报价费用自理。</w:t>
      </w:r>
    </w:p>
    <w:p>
      <w:pPr>
        <w:spacing w:line="360" w:lineRule="auto"/>
        <w:ind w:firstLine="482" w:firstLineChars="200"/>
        <w:rPr>
          <w:b/>
          <w:bCs/>
          <w:sz w:val="24"/>
          <w:szCs w:val="24"/>
        </w:rPr>
      </w:pPr>
      <w:r>
        <w:rPr>
          <w:rFonts w:hint="eastAsia"/>
          <w:b/>
          <w:bCs/>
          <w:sz w:val="24"/>
          <w:szCs w:val="24"/>
        </w:rPr>
        <w:t>八、无效响应文件的确认：</w:t>
      </w:r>
    </w:p>
    <w:p>
      <w:pPr>
        <w:tabs>
          <w:tab w:val="left" w:pos="945"/>
        </w:tabs>
        <w:spacing w:line="360" w:lineRule="auto"/>
        <w:ind w:firstLine="480" w:firstLineChars="200"/>
        <w:rPr>
          <w:rFonts w:ascii="宋体" w:hAnsi="宋体" w:cs="宋体"/>
          <w:sz w:val="24"/>
        </w:rPr>
      </w:pPr>
      <w:r>
        <w:rPr>
          <w:rFonts w:hint="eastAsia" w:ascii="宋体" w:hAnsi="宋体"/>
          <w:sz w:val="24"/>
        </w:rPr>
        <w:t>供应商</w:t>
      </w:r>
      <w:r>
        <w:rPr>
          <w:rFonts w:hint="eastAsia" w:ascii="宋体" w:hAnsi="宋体"/>
          <w:bCs/>
          <w:color w:val="000000" w:themeColor="text1"/>
          <w:sz w:val="24"/>
          <w:szCs w:val="24"/>
        </w:rPr>
        <w:t>有下列情况之一者，</w:t>
      </w:r>
      <w:r>
        <w:rPr>
          <w:rFonts w:hint="eastAsia" w:ascii="宋体" w:hAnsi="宋体"/>
          <w:sz w:val="24"/>
        </w:rPr>
        <w:t>响应</w:t>
      </w:r>
      <w:r>
        <w:rPr>
          <w:rFonts w:hint="eastAsia" w:ascii="宋体" w:hAnsi="宋体"/>
          <w:bCs/>
          <w:color w:val="000000" w:themeColor="text1"/>
          <w:sz w:val="24"/>
          <w:szCs w:val="24"/>
        </w:rPr>
        <w:t>文件无效：</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1.响应</w:t>
      </w:r>
      <w:r>
        <w:rPr>
          <w:rFonts w:hint="eastAsia" w:ascii="宋体" w:hAnsi="宋体" w:cs="宋体"/>
          <w:sz w:val="24"/>
        </w:rPr>
        <w:t>文件</w:t>
      </w:r>
      <w:r>
        <w:rPr>
          <w:rFonts w:hint="eastAsia" w:ascii="宋体" w:hAnsi="宋体" w:cs="宋体"/>
          <w:color w:val="000000" w:themeColor="text1"/>
          <w:sz w:val="24"/>
        </w:rPr>
        <w:t>封装</w:t>
      </w:r>
      <w:r>
        <w:rPr>
          <w:rFonts w:hint="eastAsia" w:ascii="宋体" w:hAnsi="宋体" w:cs="宋体"/>
          <w:sz w:val="24"/>
        </w:rPr>
        <w:t>未按规定标志、密封、盖章的；</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2.响应</w:t>
      </w:r>
      <w:r>
        <w:rPr>
          <w:rFonts w:hint="eastAsia" w:ascii="宋体" w:hAnsi="宋体" w:cs="宋体"/>
          <w:sz w:val="24"/>
        </w:rPr>
        <w:t>文件未加盖供应商公章的；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bCs/>
          <w:color w:val="000000" w:themeColor="text1"/>
          <w:sz w:val="24"/>
          <w:szCs w:val="24"/>
        </w:rPr>
        <w:t>3.法定</w:t>
      </w:r>
      <w:r>
        <w:rPr>
          <w:rFonts w:hint="eastAsia" w:ascii="宋体" w:hAnsi="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color w:val="000000" w:themeColor="text1"/>
          <w:sz w:val="24"/>
          <w:szCs w:val="24"/>
        </w:rPr>
        <w:t>5.被“信用中国”网站（</w:t>
      </w:r>
      <w:r>
        <w:fldChar w:fldCharType="begin"/>
      </w:r>
      <w:r>
        <w:instrText xml:space="preserve"> HYPERLINK "http://www.creditchina.gov.cn" </w:instrText>
      </w:r>
      <w:r>
        <w:fldChar w:fldCharType="separate"/>
      </w:r>
      <w:r>
        <w:rPr>
          <w:rFonts w:hint="eastAsia" w:ascii="宋体" w:hAnsi="宋体"/>
          <w:bCs/>
          <w:color w:val="000000" w:themeColor="text1"/>
          <w:sz w:val="24"/>
          <w:szCs w:val="24"/>
        </w:rPr>
        <w:t>www.creditchina.gov.cn</w:t>
      </w:r>
      <w:r>
        <w:rPr>
          <w:rFonts w:hint="eastAsia" w:ascii="宋体" w:hAnsi="宋体"/>
          <w:bCs/>
          <w:color w:val="000000" w:themeColor="text1"/>
          <w:sz w:val="24"/>
          <w:szCs w:val="24"/>
        </w:rPr>
        <w:fldChar w:fldCharType="end"/>
      </w:r>
      <w:r>
        <w:rPr>
          <w:rFonts w:hint="eastAsia" w:ascii="宋体" w:hAnsi="宋体"/>
          <w:bCs/>
          <w:color w:val="000000" w:themeColor="text1"/>
          <w:sz w:val="24"/>
          <w:szCs w:val="24"/>
        </w:rPr>
        <w:t>）、中国政府采购网(www.ccgp.gov.cn)列入失信被执行人、重大税收违法案件当事人名单、</w:t>
      </w:r>
      <w:r>
        <w:rPr>
          <w:rFonts w:hint="eastAsia" w:ascii="宋体" w:hAnsi="宋体"/>
          <w:color w:val="000000" w:themeColor="text1"/>
          <w:sz w:val="24"/>
          <w:szCs w:val="24"/>
        </w:rPr>
        <w:t>政府采购严重违法失信行为记录名单的；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sz w:val="24"/>
        </w:rPr>
        <w:t>6.响应</w:t>
      </w:r>
      <w:r>
        <w:rPr>
          <w:rFonts w:hint="eastAsia" w:ascii="宋体" w:hAnsi="宋体"/>
          <w:bCs/>
          <w:color w:val="000000" w:themeColor="text1"/>
          <w:sz w:val="24"/>
          <w:szCs w:val="24"/>
        </w:rPr>
        <w:t>文件未按采购文件规定的内容和要求填写的；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sz w:val="24"/>
        </w:rPr>
        <w:t>7.响应</w:t>
      </w:r>
      <w:r>
        <w:rPr>
          <w:rFonts w:hint="eastAsia" w:ascii="宋体" w:hAnsi="宋体"/>
          <w:bCs/>
          <w:color w:val="000000" w:themeColor="text1"/>
          <w:sz w:val="24"/>
          <w:szCs w:val="24"/>
        </w:rPr>
        <w:t>文件中有采购文件未允许提供的选择性内容；</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8.不同供应商委托同一单位或者个人办理报价事宜的；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9.不同供应商的单位负责人为同一人或者存在直接控股、管理关系的；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10.不同供应商的响应文件由同一单位或者同一个人编制的；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13.项目（标段）报价总价超过本项目（标段）预算或最高限价的；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14.提供虚假材料的（包括工商营业执照、财务报表、资格证明文件等）；</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15.响应文件含有采购人不能接受的附加条件的；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18.响应文件内容不全或不符合采购文件中规定的其它实质性要求的；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19.法律法规和采购文件规定的其它无效情形。</w:t>
      </w:r>
    </w:p>
    <w:p>
      <w:pPr>
        <w:spacing w:line="360" w:lineRule="auto"/>
        <w:ind w:firstLine="482" w:firstLineChars="200"/>
        <w:rPr>
          <w:b/>
          <w:bCs/>
          <w:sz w:val="24"/>
          <w:szCs w:val="24"/>
        </w:rPr>
      </w:pPr>
      <w:r>
        <w:rPr>
          <w:rFonts w:hint="eastAsia"/>
          <w:b/>
          <w:bCs/>
          <w:sz w:val="24"/>
          <w:szCs w:val="24"/>
        </w:rPr>
        <w:t>九、磋商、评审</w:t>
      </w:r>
    </w:p>
    <w:p>
      <w:pPr>
        <w:tabs>
          <w:tab w:val="left" w:pos="630"/>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磋商、评审工作由</w:t>
      </w:r>
      <w:r>
        <w:rPr>
          <w:rFonts w:hint="eastAsia" w:ascii="宋体" w:hAnsi="宋体"/>
          <w:sz w:val="24"/>
        </w:rPr>
        <w:t>采购代理机构</w:t>
      </w:r>
      <w:r>
        <w:rPr>
          <w:rFonts w:hint="eastAsia" w:ascii="宋体" w:hAnsi="宋体"/>
          <w:bCs/>
          <w:color w:val="000000"/>
          <w:sz w:val="24"/>
          <w:szCs w:val="24"/>
        </w:rPr>
        <w:t>负责组织。</w:t>
      </w:r>
    </w:p>
    <w:p>
      <w:pPr>
        <w:tabs>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bCs/>
          <w:color w:val="000000"/>
          <w:sz w:val="24"/>
          <w:szCs w:val="24"/>
        </w:rPr>
      </w:pPr>
      <w:r>
        <w:rPr>
          <w:rFonts w:hint="eastAsia" w:ascii="宋体" w:hAnsi="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报价</w:t>
      </w:r>
      <w:r>
        <w:rPr>
          <w:rFonts w:hint="eastAsia" w:ascii="宋体" w:hAnsi="宋体"/>
          <w:bCs/>
          <w:color w:val="000000"/>
          <w:sz w:val="24"/>
          <w:szCs w:val="24"/>
        </w:rPr>
        <w:t>一览表</w:t>
      </w:r>
      <w:r>
        <w:rPr>
          <w:rFonts w:ascii="宋体" w:hAnsi="宋体"/>
          <w:bCs/>
          <w:color w:val="000000"/>
          <w:sz w:val="24"/>
          <w:szCs w:val="24"/>
        </w:rPr>
        <w:t>内容与明细表内容不一致的，以报价</w:t>
      </w:r>
      <w:r>
        <w:rPr>
          <w:rFonts w:hint="eastAsia" w:ascii="宋体" w:hAnsi="宋体"/>
          <w:bCs/>
          <w:color w:val="000000"/>
          <w:sz w:val="24"/>
          <w:szCs w:val="24"/>
        </w:rPr>
        <w:t>一览表</w:t>
      </w:r>
      <w:r>
        <w:rPr>
          <w:rFonts w:ascii="宋体" w:hAnsi="宋体"/>
          <w:bCs/>
          <w:color w:val="000000"/>
          <w:sz w:val="24"/>
          <w:szCs w:val="24"/>
        </w:rPr>
        <w:t>为准</w:t>
      </w:r>
      <w:r>
        <w:rPr>
          <w:rFonts w:hint="eastAsia" w:ascii="宋体" w:hAnsi="宋体"/>
          <w:bCs/>
          <w:color w:val="000000"/>
          <w:sz w:val="24"/>
          <w:szCs w:val="24"/>
        </w:rPr>
        <w:t>。</w:t>
      </w:r>
    </w:p>
    <w:p>
      <w:pPr>
        <w:tabs>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10"/>
        <w:numPr>
          <w:ilvl w:val="0"/>
          <w:numId w:val="4"/>
        </w:numPr>
        <w:tabs>
          <w:tab w:val="left" w:pos="510"/>
          <w:tab w:val="left" w:pos="630"/>
          <w:tab w:val="left" w:pos="945"/>
          <w:tab w:val="left" w:pos="1155"/>
        </w:tabs>
        <w:spacing w:line="360" w:lineRule="auto"/>
        <w:ind w:firstLineChars="0"/>
        <w:rPr>
          <w:rFonts w:ascii="宋体" w:hAnsi="宋体"/>
          <w:bCs/>
          <w:color w:val="000000"/>
          <w:sz w:val="24"/>
          <w:szCs w:val="24"/>
        </w:rPr>
      </w:pPr>
      <w:r>
        <w:rPr>
          <w:rFonts w:hint="eastAsia" w:ascii="宋体" w:hAnsi="宋体"/>
          <w:bCs/>
          <w:color w:val="000000"/>
          <w:sz w:val="24"/>
          <w:szCs w:val="24"/>
        </w:rPr>
        <w:t>正本与副本不符，以正本为准。</w:t>
      </w:r>
    </w:p>
    <w:p>
      <w:pPr>
        <w:tabs>
          <w:tab w:val="left" w:pos="525"/>
          <w:tab w:val="left" w:pos="840"/>
          <w:tab w:val="left" w:pos="945"/>
        </w:tabs>
        <w:spacing w:line="360" w:lineRule="auto"/>
        <w:ind w:left="570"/>
        <w:rPr>
          <w:rFonts w:ascii="宋体" w:hAnsi="宋体"/>
          <w:bCs/>
          <w:color w:val="000000"/>
          <w:sz w:val="24"/>
          <w:szCs w:val="24"/>
        </w:rPr>
      </w:pPr>
      <w:r>
        <w:rPr>
          <w:rFonts w:hint="eastAsia" w:ascii="宋体" w:hAnsi="宋体"/>
          <w:bCs/>
          <w:color w:val="000000"/>
          <w:sz w:val="24"/>
        </w:rPr>
        <w:t>2.磋商、</w:t>
      </w:r>
      <w:r>
        <w:rPr>
          <w:rFonts w:ascii="宋体" w:hAnsi="宋体"/>
          <w:bCs/>
          <w:color w:val="000000"/>
          <w:sz w:val="24"/>
        </w:rPr>
        <w:t>评</w:t>
      </w:r>
      <w:r>
        <w:rPr>
          <w:rFonts w:hint="eastAsia" w:ascii="宋体" w:hAnsi="宋体"/>
          <w:bCs/>
          <w:color w:val="000000"/>
          <w:sz w:val="24"/>
        </w:rPr>
        <w:t>审</w:t>
      </w:r>
      <w:r>
        <w:rPr>
          <w:rFonts w:ascii="宋体" w:hAnsi="宋体"/>
          <w:bCs/>
          <w:color w:val="000000"/>
          <w:sz w:val="24"/>
        </w:rPr>
        <w:t>程序</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rPr>
        <w:t>（1）</w:t>
      </w:r>
      <w:r>
        <w:rPr>
          <w:rFonts w:ascii="宋体" w:hAnsi="宋体"/>
          <w:bCs/>
          <w:color w:val="000000"/>
          <w:sz w:val="24"/>
        </w:rPr>
        <w:t>响应文件初审。初审分为资格性审查和符合性审查</w:t>
      </w:r>
      <w:r>
        <w:rPr>
          <w:rFonts w:ascii="宋体" w:hAnsi="宋体"/>
          <w:bCs/>
          <w:color w:val="000000"/>
          <w:sz w:val="24"/>
          <w:szCs w:val="24"/>
        </w:rPr>
        <w:t>。</w:t>
      </w:r>
    </w:p>
    <w:p>
      <w:pPr>
        <w:numPr>
          <w:ilvl w:val="0"/>
          <w:numId w:val="5"/>
        </w:numPr>
        <w:tabs>
          <w:tab w:val="left" w:pos="210"/>
          <w:tab w:val="left" w:pos="945"/>
          <w:tab w:val="left" w:pos="1365"/>
          <w:tab w:val="clear" w:pos="570"/>
        </w:tabs>
        <w:spacing w:line="360" w:lineRule="auto"/>
        <w:ind w:left="0" w:firstLine="480" w:firstLineChars="200"/>
        <w:rPr>
          <w:rFonts w:ascii="宋体" w:hAnsi="宋体"/>
          <w:bCs/>
          <w:color w:val="000000"/>
          <w:sz w:val="24"/>
        </w:rPr>
      </w:pPr>
      <w:r>
        <w:rPr>
          <w:rFonts w:ascii="宋体" w:hAnsi="宋体"/>
          <w:bCs/>
          <w:color w:val="000000"/>
          <w:sz w:val="24"/>
        </w:rPr>
        <w:t>资格性审查。依据法律法规和采购文件的规定，对响应文件中的资格证明、</w:t>
      </w:r>
      <w:r>
        <w:rPr>
          <w:rFonts w:hint="eastAsia" w:ascii="宋体" w:hAnsi="宋体"/>
          <w:bCs/>
          <w:color w:val="000000"/>
          <w:sz w:val="24"/>
        </w:rPr>
        <w:t>投标</w:t>
      </w:r>
      <w:r>
        <w:rPr>
          <w:rFonts w:ascii="宋体" w:hAnsi="宋体"/>
          <w:bCs/>
          <w:color w:val="000000"/>
          <w:sz w:val="24"/>
        </w:rPr>
        <w:t>保证金等进行审查</w:t>
      </w:r>
      <w:r>
        <w:rPr>
          <w:rFonts w:hint="eastAsia" w:ascii="宋体" w:hAnsi="宋体"/>
          <w:bCs/>
          <w:color w:val="000000"/>
          <w:sz w:val="24"/>
        </w:rPr>
        <w:t>；</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bCs/>
          <w:color w:val="000000"/>
          <w:sz w:val="24"/>
          <w:szCs w:val="24"/>
        </w:rPr>
        <w:t>www.creditchina.gov.cn</w:t>
      </w:r>
      <w:r>
        <w:rPr>
          <w:rFonts w:hint="eastAsia" w:ascii="宋体" w:hAnsi="宋体"/>
          <w:bCs/>
          <w:color w:val="000000"/>
          <w:sz w:val="24"/>
          <w:szCs w:val="24"/>
        </w:rPr>
        <w:fldChar w:fldCharType="end"/>
      </w:r>
      <w:r>
        <w:rPr>
          <w:rFonts w:hint="eastAsia" w:ascii="宋体" w:hAnsi="宋体"/>
          <w:bCs/>
          <w:color w:val="000000"/>
          <w:sz w:val="24"/>
          <w:szCs w:val="24"/>
        </w:rPr>
        <w:t>）查询报价供应商在报价截止时间之前，是否被列入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以确定供应商是否具备报价资格。</w:t>
      </w:r>
    </w:p>
    <w:p>
      <w:pPr>
        <w:numPr>
          <w:ilvl w:val="0"/>
          <w:numId w:val="5"/>
        </w:numPr>
        <w:tabs>
          <w:tab w:val="left" w:pos="210"/>
          <w:tab w:val="left" w:pos="945"/>
          <w:tab w:val="left" w:pos="1365"/>
          <w:tab w:val="clear" w:pos="570"/>
        </w:tabs>
        <w:spacing w:line="360" w:lineRule="auto"/>
        <w:ind w:left="0" w:firstLine="523" w:firstLineChars="218"/>
        <w:rPr>
          <w:rFonts w:ascii="宋体" w:hAnsi="宋体"/>
          <w:bCs/>
          <w:color w:val="000000"/>
          <w:sz w:val="24"/>
        </w:rPr>
      </w:pPr>
      <w:r>
        <w:rPr>
          <w:rFonts w:ascii="宋体" w:hAnsi="宋体"/>
          <w:bCs/>
          <w:color w:val="000000"/>
          <w:sz w:val="24"/>
        </w:rPr>
        <w:t>符合性审查。依据采购文件的规定，从响应文件的有效性、完整性和对采购文件的响应程度进行审查，以确定是否对采购文件的实质性要求作出响应</w:t>
      </w:r>
      <w:r>
        <w:rPr>
          <w:rFonts w:hint="eastAsia" w:ascii="宋体" w:hAnsi="宋体"/>
          <w:bCs/>
          <w:color w:val="000000"/>
          <w:sz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r>
        <w:rPr>
          <w:rFonts w:hint="eastAsia" w:ascii="宋体" w:hAnsi="宋体"/>
          <w:bCs/>
          <w:color w:val="000000"/>
          <w:sz w:val="24"/>
          <w:szCs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（3）磋商小组讨论、确定磋商程序和磋商内容。</w:t>
      </w:r>
    </w:p>
    <w:p>
      <w:pPr>
        <w:tabs>
          <w:tab w:val="left" w:pos="945"/>
          <w:tab w:val="left" w:pos="1104"/>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（5）</w:t>
      </w:r>
      <w:r>
        <w:rPr>
          <w:rFonts w:ascii="宋体" w:hAnsi="宋体"/>
          <w:bCs/>
          <w:color w:val="000000"/>
          <w:sz w:val="24"/>
          <w:szCs w:val="24"/>
        </w:rPr>
        <w:t>在磋商过程中，磋商小组可以根据采购文件和磋商情况实质性变动采购需求中的技术、服务要求以及合同草案条款，但不得变动采购文件中的其他内容。对采购文件作出的实质性变动是采购文件的有效组成部分</w:t>
      </w:r>
      <w:r>
        <w:rPr>
          <w:rFonts w:hint="eastAsia" w:ascii="宋体" w:hAnsi="宋体"/>
          <w:bCs/>
          <w:color w:val="000000"/>
          <w:sz w:val="24"/>
          <w:szCs w:val="24"/>
        </w:rPr>
        <w:t>。如有实质性变动，磋商小组将以书面形式通知所有参加磋商的供应商。</w:t>
      </w:r>
      <w:r>
        <w:rPr>
          <w:rFonts w:ascii="宋体" w:hAnsi="宋体"/>
          <w:bCs/>
          <w:color w:val="000000"/>
          <w:sz w:val="24"/>
          <w:szCs w:val="24"/>
        </w:rPr>
        <w:t>供应商应当按照采购文件的变动情况和磋商小组的要求</w:t>
      </w:r>
      <w:r>
        <w:rPr>
          <w:rFonts w:hint="eastAsia" w:ascii="宋体" w:hAnsi="宋体"/>
          <w:bCs/>
          <w:color w:val="000000"/>
          <w:sz w:val="24"/>
          <w:szCs w:val="24"/>
        </w:rPr>
        <w:t>在规定的时间内</w:t>
      </w:r>
      <w:r>
        <w:rPr>
          <w:rFonts w:ascii="宋体" w:hAnsi="宋体"/>
          <w:bCs/>
          <w:color w:val="000000"/>
          <w:sz w:val="24"/>
          <w:szCs w:val="24"/>
        </w:rPr>
        <w:t>重新提交响应文件，并由其法定代表人或授权代表签字或者加盖公章。</w:t>
      </w:r>
      <w:r>
        <w:rPr>
          <w:rFonts w:hint="eastAsia" w:ascii="宋体" w:hAnsi="宋体"/>
          <w:bCs/>
          <w:color w:val="000000"/>
          <w:sz w:val="24"/>
          <w:szCs w:val="24"/>
        </w:rPr>
        <w:t>如有负偏离，将作为无效报价。</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3.评审方法</w:t>
      </w:r>
    </w:p>
    <w:p>
      <w:pPr>
        <w:tabs>
          <w:tab w:val="left" w:pos="900"/>
        </w:tabs>
        <w:spacing w:line="360" w:lineRule="auto"/>
        <w:ind w:firstLine="477" w:firstLineChars="199"/>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w:t>
      </w:r>
      <w:r>
        <w:rPr>
          <w:rFonts w:ascii="宋体" w:hAnsi="宋体"/>
          <w:bCs/>
          <w:color w:val="000000"/>
          <w:sz w:val="24"/>
          <w:szCs w:val="24"/>
        </w:rPr>
        <w:t>得分相同</w:t>
      </w:r>
      <w:r>
        <w:rPr>
          <w:rFonts w:hint="eastAsia" w:ascii="宋体" w:hAnsi="宋体"/>
          <w:bCs/>
          <w:color w:val="000000"/>
          <w:sz w:val="24"/>
          <w:szCs w:val="24"/>
        </w:rPr>
        <w:t>的</w:t>
      </w:r>
      <w:r>
        <w:rPr>
          <w:rFonts w:ascii="宋体" w:hAnsi="宋体"/>
          <w:bCs/>
          <w:color w:val="000000"/>
          <w:sz w:val="24"/>
          <w:szCs w:val="24"/>
        </w:rPr>
        <w:t>，按</w:t>
      </w:r>
      <w:r>
        <w:rPr>
          <w:rFonts w:hint="eastAsia" w:ascii="宋体" w:hAnsi="宋体"/>
          <w:bCs/>
          <w:color w:val="000000"/>
          <w:sz w:val="24"/>
          <w:szCs w:val="24"/>
        </w:rPr>
        <w:t>最后</w:t>
      </w:r>
      <w:r>
        <w:rPr>
          <w:rFonts w:ascii="宋体" w:hAnsi="宋体"/>
          <w:bCs/>
          <w:color w:val="000000"/>
          <w:sz w:val="24"/>
          <w:szCs w:val="24"/>
        </w:rPr>
        <w:t>报价由低到高顺序排列</w:t>
      </w:r>
      <w:r>
        <w:rPr>
          <w:rFonts w:hint="eastAsia" w:ascii="宋体" w:hAnsi="宋体"/>
          <w:bCs/>
          <w:color w:val="000000"/>
          <w:sz w:val="24"/>
          <w:szCs w:val="24"/>
        </w:rPr>
        <w:t>；评审</w:t>
      </w:r>
      <w:r>
        <w:rPr>
          <w:rFonts w:ascii="宋体" w:hAnsi="宋体"/>
          <w:bCs/>
          <w:color w:val="000000"/>
          <w:sz w:val="24"/>
          <w:szCs w:val="24"/>
        </w:rPr>
        <w:t>得分且</w:t>
      </w:r>
      <w:r>
        <w:rPr>
          <w:rFonts w:hint="eastAsia" w:ascii="宋体" w:hAnsi="宋体"/>
          <w:bCs/>
          <w:color w:val="000000"/>
          <w:sz w:val="24"/>
          <w:szCs w:val="24"/>
        </w:rPr>
        <w:t>最后</w:t>
      </w:r>
      <w:r>
        <w:rPr>
          <w:rFonts w:ascii="宋体" w:hAnsi="宋体"/>
          <w:bCs/>
          <w:color w:val="000000"/>
          <w:sz w:val="24"/>
          <w:szCs w:val="24"/>
        </w:rPr>
        <w:t>报价相同</w:t>
      </w:r>
      <w:r>
        <w:rPr>
          <w:rFonts w:hint="eastAsia" w:ascii="宋体" w:hAnsi="宋体"/>
          <w:bCs/>
          <w:color w:val="000000"/>
          <w:sz w:val="24"/>
          <w:szCs w:val="24"/>
        </w:rPr>
        <w:t>的</w:t>
      </w:r>
      <w:r>
        <w:rPr>
          <w:rFonts w:ascii="宋体" w:hAnsi="宋体"/>
          <w:bCs/>
          <w:color w:val="000000"/>
          <w:sz w:val="24"/>
          <w:szCs w:val="24"/>
        </w:rPr>
        <w:t>，</w:t>
      </w:r>
      <w:r>
        <w:rPr>
          <w:rFonts w:hint="eastAsia" w:ascii="宋体" w:hAnsi="宋体"/>
          <w:bCs/>
          <w:color w:val="000000"/>
          <w:sz w:val="24"/>
          <w:szCs w:val="24"/>
        </w:rPr>
        <w:t>按</w:t>
      </w:r>
      <w:r>
        <w:rPr>
          <w:rFonts w:ascii="宋体" w:hAnsi="宋体"/>
          <w:bCs/>
          <w:color w:val="000000"/>
          <w:sz w:val="24"/>
          <w:szCs w:val="24"/>
        </w:rPr>
        <w:t>技术指标优劣顺序排列</w:t>
      </w:r>
      <w:r>
        <w:rPr>
          <w:rFonts w:hint="eastAsia" w:ascii="宋体" w:hAnsi="宋体"/>
          <w:bCs/>
          <w:color w:val="000000"/>
          <w:sz w:val="24"/>
          <w:szCs w:val="24"/>
        </w:rPr>
        <w:t>。</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4.评分标准</w:t>
      </w:r>
    </w:p>
    <w:p>
      <w:pPr>
        <w:tabs>
          <w:tab w:val="left" w:pos="945"/>
        </w:tabs>
        <w:spacing w:line="360" w:lineRule="auto"/>
        <w:ind w:firstLine="480" w:firstLineChars="200"/>
        <w:rPr>
          <w:rFonts w:ascii="宋体" w:hAnsi="宋体"/>
          <w:bCs/>
          <w:sz w:val="24"/>
        </w:rPr>
      </w:pPr>
      <w:r>
        <w:rPr>
          <w:rFonts w:hint="eastAsia" w:ascii="宋体" w:hAnsi="宋体"/>
          <w:bCs/>
          <w:sz w:val="24"/>
        </w:rPr>
        <w:t>详见第五章 评分标准。</w:t>
      </w:r>
    </w:p>
    <w:p>
      <w:pPr>
        <w:spacing w:line="360" w:lineRule="auto"/>
        <w:ind w:firstLine="482" w:firstLineChars="200"/>
        <w:rPr>
          <w:b/>
          <w:bCs/>
          <w:sz w:val="24"/>
          <w:szCs w:val="24"/>
        </w:rPr>
      </w:pPr>
      <w:r>
        <w:rPr>
          <w:rFonts w:hint="eastAsia"/>
          <w:b/>
          <w:bCs/>
          <w:sz w:val="24"/>
          <w:szCs w:val="24"/>
        </w:rPr>
        <w:t>十、确定成交供应商</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2.采购代理机构将评审结果通知所有参加报价的未成交供应商，并在江苏仁禾中衡工程咨询房地产估价有限公司网（</w:t>
      </w:r>
      <w:r>
        <w:rPr>
          <w:rFonts w:ascii="宋体" w:hAnsi="宋体"/>
          <w:bCs/>
          <w:color w:val="000000"/>
          <w:sz w:val="24"/>
          <w:szCs w:val="24"/>
        </w:rPr>
        <w:t>http://www.jsrhzh.com/info.asp?id=1</w:t>
      </w:r>
      <w:r>
        <w:rPr>
          <w:rFonts w:hint="eastAsia" w:ascii="宋体" w:hAnsi="宋体"/>
          <w:bCs/>
          <w:color w:val="000000"/>
          <w:sz w:val="24"/>
          <w:szCs w:val="24"/>
        </w:rPr>
        <w:t>）发布成交公告。采购代理机构和磋商小组对未成交原因不做解释。如有质疑，应在</w:t>
      </w:r>
      <w:r>
        <w:rPr>
          <w:rFonts w:ascii="宋体" w:hAnsi="宋体"/>
          <w:bCs/>
          <w:color w:val="000000"/>
          <w:sz w:val="24"/>
          <w:szCs w:val="24"/>
        </w:rPr>
        <w:t>法定质疑期限</w:t>
      </w:r>
      <w:r>
        <w:rPr>
          <w:rFonts w:hint="eastAsia" w:ascii="宋体" w:hAnsi="宋体"/>
          <w:bCs/>
          <w:color w:val="000000"/>
          <w:sz w:val="24"/>
          <w:szCs w:val="24"/>
        </w:rPr>
        <w:t>内，即成交公告期限届满之日起</w:t>
      </w:r>
      <w:r>
        <w:rPr>
          <w:rFonts w:ascii="宋体" w:hAnsi="宋体"/>
          <w:bCs/>
          <w:color w:val="000000"/>
          <w:sz w:val="24"/>
          <w:szCs w:val="24"/>
        </w:rPr>
        <w:t>7</w:t>
      </w:r>
      <w:r>
        <w:rPr>
          <w:rFonts w:hint="eastAsia" w:ascii="宋体" w:hAnsi="宋体"/>
          <w:bCs/>
          <w:color w:val="000000"/>
          <w:sz w:val="24"/>
          <w:szCs w:val="24"/>
        </w:rPr>
        <w:t>个工作日内，以书面形式（原件）送达</w:t>
      </w:r>
      <w:r>
        <w:rPr>
          <w:rFonts w:hint="eastAsia" w:ascii="宋体" w:hAnsi="宋体"/>
          <w:sz w:val="24"/>
        </w:rPr>
        <w:t>采购代理机构</w:t>
      </w:r>
      <w:r>
        <w:rPr>
          <w:rFonts w:hint="eastAsia" w:ascii="宋体" w:hAnsi="宋体"/>
          <w:bCs/>
          <w:color w:val="000000"/>
          <w:sz w:val="24"/>
          <w:szCs w:val="24"/>
        </w:rPr>
        <w:t>，</w:t>
      </w:r>
      <w:r>
        <w:rPr>
          <w:rFonts w:hint="eastAsia" w:ascii="宋体" w:hAnsi="宋体"/>
          <w:bCs/>
          <w:sz w:val="24"/>
          <w:szCs w:val="24"/>
        </w:rPr>
        <w:t>并且</w:t>
      </w:r>
      <w:r>
        <w:rPr>
          <w:rFonts w:ascii="宋体" w:hAnsi="宋体"/>
          <w:bCs/>
          <w:sz w:val="24"/>
          <w:szCs w:val="24"/>
        </w:rPr>
        <w:t>针对同一采购程序环节的质疑</w:t>
      </w:r>
      <w:r>
        <w:rPr>
          <w:rFonts w:hint="eastAsia" w:ascii="宋体" w:hAnsi="宋体"/>
          <w:bCs/>
          <w:sz w:val="24"/>
          <w:szCs w:val="24"/>
        </w:rPr>
        <w:t>，须</w:t>
      </w:r>
      <w:r>
        <w:rPr>
          <w:rFonts w:ascii="宋体" w:hAnsi="宋体"/>
          <w:bCs/>
          <w:sz w:val="24"/>
          <w:szCs w:val="24"/>
        </w:rPr>
        <w:t>在法定质疑期内一次性提出</w:t>
      </w:r>
      <w:r>
        <w:rPr>
          <w:rFonts w:hint="eastAsia" w:ascii="宋体" w:hAnsi="宋体"/>
          <w:bCs/>
          <w:sz w:val="24"/>
          <w:szCs w:val="24"/>
        </w:rPr>
        <w:t>。质疑函的质疑事项应具体、明确，并有必要的事实依据和法律依据（格式详见中国政府采购网《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rPr>
        <w:t>政府采购供应商质疑函范本</w:t>
      </w:r>
      <w:r>
        <w:rPr>
          <w:rFonts w:hint="eastAsia" w:ascii="宋体" w:hAnsi="宋体"/>
          <w:bCs/>
          <w:sz w:val="24"/>
          <w:szCs w:val="24"/>
        </w:rPr>
        <w:fldChar w:fldCharType="end"/>
      </w:r>
      <w:r>
        <w:rPr>
          <w:rFonts w:hint="eastAsia" w:ascii="宋体" w:hAnsi="宋体"/>
          <w:bCs/>
          <w:sz w:val="24"/>
          <w:szCs w:val="24"/>
        </w:rPr>
        <w:t>》）。</w:t>
      </w:r>
      <w:r>
        <w:rPr>
          <w:rFonts w:hint="eastAsia" w:ascii="宋体" w:hAnsi="宋体"/>
          <w:sz w:val="24"/>
        </w:rPr>
        <w:t>采购代理机构</w:t>
      </w:r>
      <w:r>
        <w:rPr>
          <w:rFonts w:hint="eastAsia" w:ascii="宋体" w:hAnsi="宋体"/>
          <w:bCs/>
          <w:color w:val="000000"/>
          <w:sz w:val="24"/>
          <w:szCs w:val="24"/>
        </w:rPr>
        <w:t>将在收到符合上述要求的书面质疑后七个工作日内，对质疑内容做出答复。供应商在</w:t>
      </w:r>
      <w:r>
        <w:rPr>
          <w:rFonts w:ascii="宋体" w:hAnsi="宋体"/>
          <w:bCs/>
          <w:color w:val="000000"/>
          <w:sz w:val="24"/>
          <w:szCs w:val="24"/>
        </w:rPr>
        <w:t>法定质疑期限</w:t>
      </w:r>
      <w:r>
        <w:rPr>
          <w:rFonts w:hint="eastAsia" w:ascii="宋体" w:hAnsi="宋体"/>
          <w:bCs/>
          <w:color w:val="000000"/>
          <w:sz w:val="24"/>
          <w:szCs w:val="24"/>
        </w:rPr>
        <w:t>外送达的质疑函或</w:t>
      </w:r>
      <w:r>
        <w:rPr>
          <w:rFonts w:ascii="宋体" w:hAnsi="宋体"/>
          <w:bCs/>
          <w:color w:val="000000"/>
          <w:sz w:val="24"/>
          <w:szCs w:val="24"/>
        </w:rPr>
        <w:t>法定质疑期限</w:t>
      </w:r>
      <w:r>
        <w:rPr>
          <w:rFonts w:hint="eastAsia" w:ascii="宋体" w:hAnsi="宋体"/>
          <w:bCs/>
          <w:color w:val="000000"/>
          <w:sz w:val="24"/>
          <w:szCs w:val="24"/>
        </w:rPr>
        <w:t>内送达的</w:t>
      </w:r>
      <w:r>
        <w:rPr>
          <w:rFonts w:ascii="宋体" w:hAnsi="宋体"/>
          <w:bCs/>
          <w:color w:val="000000"/>
          <w:sz w:val="24"/>
          <w:szCs w:val="24"/>
        </w:rPr>
        <w:t>质疑函</w:t>
      </w:r>
      <w:r>
        <w:rPr>
          <w:rFonts w:hint="eastAsia" w:ascii="宋体" w:hAnsi="宋体"/>
          <w:bCs/>
          <w:color w:val="000000"/>
          <w:sz w:val="24"/>
          <w:szCs w:val="24"/>
        </w:rPr>
        <w:t>不符合上述要求</w:t>
      </w:r>
      <w:r>
        <w:rPr>
          <w:rFonts w:ascii="宋体" w:hAnsi="宋体"/>
          <w:bCs/>
          <w:color w:val="000000"/>
          <w:sz w:val="24"/>
          <w:szCs w:val="24"/>
        </w:rPr>
        <w:t>的</w:t>
      </w:r>
      <w:r>
        <w:rPr>
          <w:rFonts w:hint="eastAsia" w:ascii="宋体" w:hAnsi="宋体"/>
          <w:bCs/>
          <w:color w:val="000000"/>
          <w:sz w:val="24"/>
          <w:szCs w:val="24"/>
        </w:rPr>
        <w:t>均</w:t>
      </w:r>
      <w:r>
        <w:rPr>
          <w:rFonts w:ascii="宋体" w:hAnsi="宋体"/>
          <w:bCs/>
          <w:color w:val="000000"/>
          <w:sz w:val="24"/>
          <w:szCs w:val="24"/>
        </w:rPr>
        <w:t>为无效质疑</w:t>
      </w:r>
      <w:r>
        <w:rPr>
          <w:rFonts w:hint="eastAsia" w:ascii="宋体" w:hAnsi="宋体"/>
          <w:bCs/>
          <w:color w:val="000000"/>
          <w:sz w:val="24"/>
          <w:szCs w:val="24"/>
        </w:rPr>
        <w:t>，</w:t>
      </w:r>
      <w:r>
        <w:rPr>
          <w:rFonts w:hint="eastAsia" w:ascii="宋体" w:hAnsi="宋体"/>
          <w:sz w:val="24"/>
        </w:rPr>
        <w:t>采购代理机构</w:t>
      </w:r>
      <w:r>
        <w:rPr>
          <w:rFonts w:hint="eastAsia" w:ascii="宋体" w:hAnsi="宋体"/>
          <w:bCs/>
          <w:color w:val="000000"/>
          <w:sz w:val="24"/>
          <w:szCs w:val="24"/>
        </w:rPr>
        <w:t>对无效质疑不予受理。如质疑</w:t>
      </w:r>
      <w:r>
        <w:rPr>
          <w:rFonts w:ascii="宋体" w:hAnsi="宋体"/>
          <w:bCs/>
          <w:color w:val="000000"/>
          <w:sz w:val="24"/>
          <w:szCs w:val="24"/>
        </w:rPr>
        <w:t>查无实据</w:t>
      </w:r>
      <w:r>
        <w:rPr>
          <w:rFonts w:hint="eastAsia" w:ascii="宋体" w:hAnsi="宋体"/>
          <w:bCs/>
          <w:color w:val="000000"/>
          <w:sz w:val="24"/>
          <w:szCs w:val="24"/>
        </w:rPr>
        <w:t>或供应商</w:t>
      </w:r>
      <w:r>
        <w:rPr>
          <w:rFonts w:ascii="宋体" w:hAnsi="宋体"/>
          <w:bCs/>
          <w:color w:val="000000"/>
          <w:sz w:val="24"/>
          <w:szCs w:val="24"/>
        </w:rPr>
        <w:t>捏造事实</w:t>
      </w:r>
      <w:r>
        <w:rPr>
          <w:rFonts w:hint="eastAsia" w:ascii="宋体" w:hAnsi="宋体"/>
          <w:bCs/>
          <w:color w:val="000000"/>
          <w:sz w:val="24"/>
          <w:szCs w:val="24"/>
        </w:rPr>
        <w:t>，</w:t>
      </w:r>
      <w:r>
        <w:rPr>
          <w:rFonts w:ascii="宋体" w:hAnsi="宋体"/>
          <w:bCs/>
          <w:color w:val="000000"/>
          <w:sz w:val="24"/>
          <w:szCs w:val="24"/>
        </w:rPr>
        <w:t>提供虚假材料进行恶意举报</w:t>
      </w:r>
      <w:r>
        <w:rPr>
          <w:rFonts w:hint="eastAsia" w:ascii="宋体" w:hAnsi="宋体"/>
          <w:bCs/>
          <w:color w:val="000000"/>
          <w:sz w:val="24"/>
          <w:szCs w:val="24"/>
        </w:rPr>
        <w:t>，</w:t>
      </w:r>
      <w:r>
        <w:rPr>
          <w:rFonts w:ascii="宋体" w:hAnsi="宋体"/>
          <w:bCs/>
          <w:color w:val="000000"/>
          <w:sz w:val="24"/>
          <w:szCs w:val="24"/>
        </w:rPr>
        <w:t>不配合或采用不正当手段干扰政府采购质疑的</w:t>
      </w:r>
      <w:r>
        <w:rPr>
          <w:rFonts w:hint="eastAsia" w:ascii="宋体" w:hAnsi="宋体"/>
          <w:bCs/>
          <w:color w:val="000000"/>
          <w:sz w:val="24"/>
          <w:szCs w:val="24"/>
        </w:rPr>
        <w:t>，将记入供应商在江苏省和常州市的政府采购“供应商</w:t>
      </w:r>
      <w:r>
        <w:rPr>
          <w:rFonts w:ascii="宋体" w:hAnsi="宋体"/>
          <w:bCs/>
          <w:color w:val="000000"/>
          <w:sz w:val="24"/>
          <w:szCs w:val="24"/>
        </w:rPr>
        <w:t>诚信</w:t>
      </w:r>
      <w:r>
        <w:rPr>
          <w:rFonts w:hint="eastAsia" w:ascii="宋体" w:hAnsi="宋体"/>
          <w:bCs/>
          <w:color w:val="000000"/>
          <w:sz w:val="24"/>
          <w:szCs w:val="24"/>
        </w:rPr>
        <w:t>记录”，并按相关规定处理。</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sz w:val="24"/>
        </w:rPr>
        <w:t>3.采购代理机构</w:t>
      </w:r>
      <w:r>
        <w:rPr>
          <w:rFonts w:hint="eastAsia" w:ascii="宋体" w:hAnsi="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themeColor="text1"/>
          <w:sz w:val="24"/>
          <w:szCs w:val="24"/>
        </w:rPr>
        <w:t>4.报价供应商提交的纸质响应文件将作为存档依据，不予退回</w:t>
      </w:r>
      <w:r>
        <w:rPr>
          <w:rFonts w:hint="eastAsia" w:ascii="宋体" w:hAnsi="宋体"/>
          <w:bCs/>
          <w:color w:val="000000"/>
          <w:sz w:val="24"/>
          <w:szCs w:val="24"/>
        </w:rPr>
        <w:t>。</w:t>
      </w:r>
    </w:p>
    <w:p>
      <w:pPr>
        <w:spacing w:line="360" w:lineRule="auto"/>
        <w:ind w:firstLine="482" w:firstLineChars="200"/>
        <w:rPr>
          <w:b/>
          <w:bCs/>
          <w:sz w:val="24"/>
          <w:szCs w:val="24"/>
        </w:rPr>
      </w:pPr>
      <w:r>
        <w:rPr>
          <w:rFonts w:hint="eastAsia"/>
          <w:b/>
          <w:bCs/>
          <w:sz w:val="24"/>
          <w:szCs w:val="24"/>
        </w:rPr>
        <w:t>十一、采购终止</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因情况变化，不再符合规定的竞争性磋商采购方式适用情形的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出现影响采购公正的违法、违规行为的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3.除《</w:t>
      </w:r>
      <w:r>
        <w:rPr>
          <w:rFonts w:ascii="宋体" w:hAnsi="宋体"/>
          <w:bCs/>
          <w:color w:val="000000"/>
          <w:sz w:val="24"/>
          <w:szCs w:val="24"/>
        </w:rPr>
        <w:t>政府采购</w:t>
      </w:r>
      <w:r>
        <w:rPr>
          <w:rFonts w:hint="eastAsia" w:ascii="宋体" w:hAnsi="宋体"/>
          <w:bCs/>
          <w:color w:val="000000"/>
          <w:sz w:val="24"/>
          <w:szCs w:val="24"/>
        </w:rPr>
        <w:t>竞争性磋商</w:t>
      </w:r>
      <w:r>
        <w:rPr>
          <w:rFonts w:ascii="宋体" w:hAnsi="宋体"/>
          <w:bCs/>
          <w:color w:val="000000"/>
          <w:sz w:val="24"/>
          <w:szCs w:val="24"/>
        </w:rPr>
        <w:t>采购方式管理</w:t>
      </w:r>
      <w:r>
        <w:rPr>
          <w:rFonts w:hint="eastAsia" w:ascii="宋体" w:hAnsi="宋体"/>
          <w:bCs/>
          <w:color w:val="000000"/>
          <w:sz w:val="24"/>
          <w:szCs w:val="24"/>
        </w:rPr>
        <w:t>暂行</w:t>
      </w:r>
      <w:r>
        <w:rPr>
          <w:rFonts w:ascii="宋体" w:hAnsi="宋体"/>
          <w:bCs/>
          <w:color w:val="000000"/>
          <w:sz w:val="24"/>
          <w:szCs w:val="24"/>
        </w:rPr>
        <w:t>办法</w:t>
      </w:r>
      <w:r>
        <w:rPr>
          <w:rFonts w:hint="eastAsia" w:ascii="宋体" w:hAnsi="宋体"/>
          <w:bCs/>
          <w:color w:val="000000"/>
          <w:sz w:val="24"/>
          <w:szCs w:val="24"/>
        </w:rPr>
        <w:t>》</w:t>
      </w:r>
      <w:r>
        <w:rPr>
          <w:rFonts w:ascii="宋体" w:hAnsi="宋体"/>
          <w:bCs/>
          <w:color w:val="000000"/>
          <w:sz w:val="24"/>
          <w:szCs w:val="24"/>
        </w:rPr>
        <w:t>第二十</w:t>
      </w:r>
      <w:r>
        <w:rPr>
          <w:rFonts w:hint="eastAsia" w:ascii="宋体" w:hAnsi="宋体"/>
          <w:bCs/>
          <w:color w:val="000000"/>
          <w:sz w:val="24"/>
          <w:szCs w:val="24"/>
        </w:rPr>
        <w:t>一</w:t>
      </w:r>
      <w:r>
        <w:rPr>
          <w:rFonts w:ascii="宋体" w:hAnsi="宋体"/>
          <w:bCs/>
          <w:color w:val="000000"/>
          <w:sz w:val="24"/>
          <w:szCs w:val="24"/>
        </w:rPr>
        <w:t>条第</w:t>
      </w:r>
      <w:r>
        <w:rPr>
          <w:rFonts w:hint="eastAsia" w:ascii="宋体" w:hAnsi="宋体"/>
          <w:bCs/>
          <w:color w:val="000000"/>
          <w:sz w:val="24"/>
          <w:szCs w:val="24"/>
        </w:rPr>
        <w:t>三</w:t>
      </w:r>
      <w:r>
        <w:rPr>
          <w:rFonts w:ascii="宋体" w:hAnsi="宋体"/>
          <w:bCs/>
          <w:color w:val="000000"/>
          <w:sz w:val="24"/>
          <w:szCs w:val="24"/>
        </w:rPr>
        <w:t>款</w:t>
      </w:r>
      <w:r>
        <w:rPr>
          <w:rFonts w:hint="eastAsia" w:ascii="宋体" w:hAnsi="宋体"/>
          <w:bCs/>
          <w:color w:val="000000"/>
          <w:sz w:val="24"/>
          <w:szCs w:val="24"/>
        </w:rPr>
        <w:t>和《财政部关于政府采购竞争性磋商采购方式管理暂行办法有关问题的补充通知》</w:t>
      </w:r>
      <w:r>
        <w:rPr>
          <w:rFonts w:ascii="宋体" w:hAnsi="宋体"/>
          <w:bCs/>
          <w:color w:val="000000"/>
          <w:sz w:val="24"/>
          <w:szCs w:val="24"/>
        </w:rPr>
        <w:t>规定的情形外</w:t>
      </w:r>
      <w:r>
        <w:rPr>
          <w:rFonts w:hint="eastAsia" w:ascii="宋体" w:hAnsi="宋体"/>
          <w:bCs/>
          <w:color w:val="000000"/>
          <w:sz w:val="24"/>
          <w:szCs w:val="24"/>
        </w:rPr>
        <w:t>，</w:t>
      </w:r>
      <w:r>
        <w:rPr>
          <w:rFonts w:ascii="宋体" w:hAnsi="宋体"/>
          <w:bCs/>
          <w:color w:val="000000"/>
          <w:sz w:val="24"/>
          <w:szCs w:val="24"/>
        </w:rPr>
        <w:t>在采购过程中符合要求的供应商或者报价未超过采购预算的供应商数量不符合法律法规要求的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4.在采购活动中因重大变故，采购任务取消的。</w:t>
      </w:r>
    </w:p>
    <w:p>
      <w:pPr>
        <w:spacing w:line="360" w:lineRule="auto"/>
        <w:ind w:firstLine="482" w:firstLineChars="200"/>
      </w:pPr>
      <w:r>
        <w:rPr>
          <w:rFonts w:hint="eastAsia"/>
          <w:b/>
          <w:bCs/>
          <w:sz w:val="24"/>
          <w:szCs w:val="24"/>
        </w:rPr>
        <w:t>十二、签订、履行合同</w:t>
      </w:r>
    </w:p>
    <w:p>
      <w:pPr>
        <w:tabs>
          <w:tab w:val="left" w:pos="525"/>
          <w:tab w:val="left" w:pos="552"/>
          <w:tab w:val="left" w:pos="945"/>
          <w:tab w:val="left" w:pos="1050"/>
        </w:tabs>
        <w:spacing w:line="360" w:lineRule="auto"/>
        <w:ind w:firstLine="480" w:firstLineChars="200"/>
        <w:rPr>
          <w:rFonts w:ascii="宋体"/>
          <w:bCs/>
          <w:color w:val="000000" w:themeColor="text1"/>
          <w:sz w:val="24"/>
          <w:szCs w:val="24"/>
        </w:rPr>
      </w:pPr>
      <w:r>
        <w:rPr>
          <w:rFonts w:hint="eastAsia" w:ascii="宋体" w:hAnsi="宋体"/>
          <w:bCs/>
          <w:sz w:val="24"/>
          <w:szCs w:val="24"/>
        </w:rPr>
        <w:t>1.采购人应当自成交通知书发出之日起三十日内，按照采购文件和成交供应商响应文件的约定，与成交供应商签订书面合同。所</w:t>
      </w:r>
      <w:r>
        <w:rPr>
          <w:rFonts w:hint="eastAsia" w:ascii="宋体" w:hAnsi="宋体"/>
          <w:bCs/>
          <w:color w:val="000000" w:themeColor="text1"/>
          <w:sz w:val="24"/>
          <w:szCs w:val="24"/>
        </w:rPr>
        <w:t>签订的合同不得对采购文件和</w:t>
      </w:r>
      <w:r>
        <w:rPr>
          <w:rFonts w:hint="eastAsia" w:ascii="宋体" w:hAnsi="宋体"/>
          <w:bCs/>
          <w:sz w:val="24"/>
          <w:szCs w:val="24"/>
        </w:rPr>
        <w:t>成交</w:t>
      </w:r>
      <w:r>
        <w:rPr>
          <w:rFonts w:hint="eastAsia" w:ascii="宋体" w:hAnsi="宋体"/>
          <w:bCs/>
          <w:color w:val="000000" w:themeColor="text1"/>
          <w:sz w:val="24"/>
          <w:szCs w:val="24"/>
        </w:rPr>
        <w:t>供应商响应文件作实质性修改。采购人不得向</w:t>
      </w:r>
      <w:r>
        <w:rPr>
          <w:rFonts w:hint="eastAsia" w:ascii="宋体" w:hAnsi="宋体"/>
          <w:bCs/>
          <w:sz w:val="24"/>
          <w:szCs w:val="24"/>
        </w:rPr>
        <w:t>成交</w:t>
      </w:r>
      <w:r>
        <w:rPr>
          <w:rFonts w:hint="eastAsia" w:ascii="宋体" w:hAnsi="宋体"/>
          <w:bCs/>
          <w:color w:val="000000" w:themeColor="text1"/>
          <w:sz w:val="24"/>
          <w:szCs w:val="24"/>
        </w:rPr>
        <w:t>供应商提出任何不合理的要求，作为签订合同的条件，不得与</w:t>
      </w:r>
      <w:r>
        <w:rPr>
          <w:rFonts w:hint="eastAsia" w:ascii="宋体" w:hAnsi="宋体"/>
          <w:bCs/>
          <w:sz w:val="24"/>
          <w:szCs w:val="24"/>
        </w:rPr>
        <w:t>成交</w:t>
      </w:r>
      <w:r>
        <w:rPr>
          <w:rFonts w:hint="eastAsia" w:ascii="宋体" w:hAnsi="宋体"/>
          <w:bCs/>
          <w:color w:val="000000" w:themeColor="text1"/>
          <w:sz w:val="24"/>
          <w:szCs w:val="24"/>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bCs/>
          <w:sz w:val="24"/>
          <w:szCs w:val="24"/>
        </w:rPr>
      </w:pPr>
      <w:r>
        <w:rPr>
          <w:rFonts w:hint="eastAsia" w:ascii="宋体" w:hAnsi="宋体"/>
          <w:bCs/>
          <w:sz w:val="24"/>
          <w:szCs w:val="24"/>
        </w:rPr>
        <w:t>2.成交供应商</w:t>
      </w:r>
      <w:r>
        <w:rPr>
          <w:rFonts w:hint="eastAsia" w:ascii="宋体" w:hAnsi="宋体"/>
          <w:bCs/>
          <w:color w:val="000000" w:themeColor="text1"/>
          <w:sz w:val="24"/>
          <w:szCs w:val="24"/>
        </w:rPr>
        <w:t>非因不可抗力未履行采购文件、响应文件和合同规定的义务，一经查实，</w:t>
      </w:r>
      <w:r>
        <w:rPr>
          <w:rFonts w:hint="eastAsia" w:ascii="宋体" w:hAnsi="宋体"/>
          <w:sz w:val="24"/>
        </w:rPr>
        <w:t>采购代理机构</w:t>
      </w:r>
      <w:r>
        <w:rPr>
          <w:rFonts w:hint="eastAsia" w:ascii="宋体" w:hAnsi="宋体"/>
          <w:bCs/>
          <w:color w:val="000000" w:themeColor="text1"/>
          <w:sz w:val="24"/>
          <w:szCs w:val="24"/>
        </w:rPr>
        <w:t>将根据具体情况提</w:t>
      </w:r>
      <w:r>
        <w:rPr>
          <w:rFonts w:hint="eastAsia" w:ascii="宋体" w:hAnsi="宋体"/>
          <w:bCs/>
          <w:sz w:val="24"/>
          <w:szCs w:val="24"/>
        </w:rPr>
        <w:t>请政府采购管理部门作出相应处理。</w:t>
      </w:r>
    </w:p>
    <w:p>
      <w:pPr>
        <w:tabs>
          <w:tab w:val="left" w:pos="525"/>
          <w:tab w:val="left" w:pos="552"/>
          <w:tab w:val="left" w:pos="945"/>
          <w:tab w:val="left" w:pos="1050"/>
        </w:tabs>
        <w:spacing w:line="360" w:lineRule="auto"/>
        <w:ind w:firstLine="480" w:firstLineChars="200"/>
        <w:rPr>
          <w:rFonts w:ascii="宋体" w:hAnsi="宋体"/>
          <w:bCs/>
          <w:sz w:val="24"/>
        </w:rPr>
      </w:pPr>
      <w:r>
        <w:rPr>
          <w:rFonts w:hint="eastAsia" w:ascii="宋体" w:hAnsi="宋体"/>
          <w:bCs/>
          <w:sz w:val="24"/>
          <w:szCs w:val="24"/>
        </w:rPr>
        <w:t>3.成交供应商向采购人缴纳的履约保证金不超过政府采购合同金额的</w:t>
      </w:r>
      <w:r>
        <w:rPr>
          <w:rFonts w:ascii="宋体" w:hAnsi="宋体"/>
          <w:bCs/>
          <w:sz w:val="24"/>
          <w:szCs w:val="24"/>
        </w:rPr>
        <w:t>10%</w:t>
      </w:r>
      <w:r>
        <w:rPr>
          <w:rFonts w:hint="eastAsia" w:ascii="宋体" w:hAnsi="宋体"/>
          <w:bCs/>
          <w:sz w:val="24"/>
          <w:szCs w:val="24"/>
        </w:rPr>
        <w:t>。收取履约保证金的，成交供应商须自成交通知书发出之日起十日内向采购人交纳履约保证金。采购人应当与成交供应商在采购合同中约定履约保证金退还的方式、时间、条件和不予退还的情形，明确逾期退还履约保证金的违约责任。履约保证金在项目验收合格后并按相关规定扣除处罚款后退还，不计利息。</w:t>
      </w:r>
    </w:p>
    <w:p>
      <w:pPr>
        <w:spacing w:line="360" w:lineRule="auto"/>
        <w:ind w:firstLine="482" w:firstLineChars="200"/>
        <w:rPr>
          <w:b/>
          <w:bCs/>
          <w:sz w:val="24"/>
          <w:szCs w:val="24"/>
        </w:rPr>
      </w:pPr>
      <w:r>
        <w:rPr>
          <w:rFonts w:hint="eastAsia"/>
          <w:b/>
          <w:bCs/>
          <w:sz w:val="24"/>
          <w:szCs w:val="24"/>
        </w:rPr>
        <w:t>十三、注意事项</w:t>
      </w:r>
    </w:p>
    <w:p>
      <w:pPr>
        <w:tabs>
          <w:tab w:val="left" w:pos="945"/>
          <w:tab w:val="left" w:pos="1050"/>
        </w:tabs>
        <w:spacing w:line="360" w:lineRule="auto"/>
        <w:ind w:firstLine="480" w:firstLineChars="200"/>
        <w:rPr>
          <w:rFonts w:ascii="宋体" w:hAnsi="宋体"/>
          <w:color w:val="000000"/>
          <w:sz w:val="24"/>
          <w:szCs w:val="24"/>
        </w:rPr>
      </w:pPr>
      <w:r>
        <w:rPr>
          <w:rFonts w:hint="eastAsia" w:ascii="宋体" w:hAnsi="宋体"/>
          <w:bCs/>
          <w:color w:val="000000"/>
          <w:sz w:val="24"/>
          <w:szCs w:val="24"/>
        </w:rPr>
        <w:t>成交供应商有下列情形之一的，</w:t>
      </w:r>
      <w:r>
        <w:rPr>
          <w:rFonts w:hint="eastAsia" w:ascii="宋体" w:hAnsi="宋体"/>
          <w:color w:val="000000"/>
          <w:sz w:val="24"/>
          <w:szCs w:val="24"/>
        </w:rPr>
        <w:t>必须</w:t>
      </w:r>
      <w:r>
        <w:rPr>
          <w:rFonts w:ascii="宋体" w:hAnsi="宋体"/>
          <w:color w:val="000000"/>
          <w:sz w:val="24"/>
          <w:szCs w:val="24"/>
        </w:rPr>
        <w:t>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成交后无正当理由不与采购人签订合同的；</w:t>
      </w:r>
    </w:p>
    <w:p>
      <w:pPr>
        <w:tabs>
          <w:tab w:val="left" w:pos="315"/>
          <w:tab w:val="left" w:pos="735"/>
          <w:tab w:val="left" w:pos="1155"/>
        </w:tabs>
        <w:spacing w:line="360" w:lineRule="auto"/>
        <w:ind w:firstLine="480" w:firstLineChars="200"/>
        <w:rPr>
          <w:rFonts w:ascii="宋体" w:hAnsi="宋体"/>
          <w:bCs/>
          <w:color w:val="000000"/>
          <w:sz w:val="24"/>
          <w:szCs w:val="24"/>
        </w:rPr>
      </w:pPr>
      <w:r>
        <w:rPr>
          <w:rFonts w:hint="eastAsia" w:ascii="宋体" w:hAnsi="宋体"/>
          <w:color w:val="000000"/>
          <w:sz w:val="24"/>
          <w:szCs w:val="24"/>
        </w:rPr>
        <w:t>3.</w:t>
      </w:r>
      <w:r>
        <w:rPr>
          <w:rFonts w:hint="eastAsia" w:ascii="宋体" w:hAnsi="宋体"/>
          <w:bCs/>
          <w:color w:val="000000"/>
          <w:sz w:val="24"/>
          <w:szCs w:val="24"/>
        </w:rPr>
        <w:t>拒绝履行合同义务的。</w:t>
      </w:r>
    </w:p>
    <w:p>
      <w:pPr>
        <w:spacing w:line="360" w:lineRule="auto"/>
        <w:ind w:firstLine="482" w:firstLineChars="200"/>
        <w:rPr>
          <w:b/>
          <w:bCs/>
          <w:sz w:val="24"/>
          <w:szCs w:val="24"/>
        </w:rPr>
      </w:pPr>
      <w:r>
        <w:rPr>
          <w:rFonts w:hint="eastAsia"/>
          <w:b/>
          <w:bCs/>
          <w:sz w:val="24"/>
          <w:szCs w:val="24"/>
        </w:rPr>
        <w:t>十四、成交服务费</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1、采购代理服务费收费标准为：</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（1）代理服务费用基数参照“计价格[2002]1980号”收费标准按差额定率累进法计算，标准如下：</w:t>
      </w:r>
    </w:p>
    <w:tbl>
      <w:tblPr>
        <w:tblStyle w:val="32"/>
        <w:tblW w:w="5685" w:type="dxa"/>
        <w:jc w:val="center"/>
        <w:tblLayout w:type="autofit"/>
        <w:tblCellMar>
          <w:top w:w="0" w:type="dxa"/>
          <w:left w:w="108" w:type="dxa"/>
          <w:bottom w:w="0" w:type="dxa"/>
          <w:right w:w="108" w:type="dxa"/>
        </w:tblCellMar>
      </w:tblPr>
      <w:tblGrid>
        <w:gridCol w:w="3400"/>
        <w:gridCol w:w="2285"/>
      </w:tblGrid>
      <w:tr>
        <w:tblPrEx>
          <w:tblCellMar>
            <w:top w:w="0" w:type="dxa"/>
            <w:left w:w="108" w:type="dxa"/>
            <w:bottom w:w="0" w:type="dxa"/>
            <w:right w:w="108" w:type="dxa"/>
          </w:tblCellMar>
        </w:tblPrEx>
        <w:trPr>
          <w:trHeight w:val="600" w:hRule="atLeast"/>
          <w:jc w:val="center"/>
        </w:trPr>
        <w:tc>
          <w:tcPr>
            <w:tcW w:w="340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费率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中标金额（万元）</w:t>
            </w:r>
          </w:p>
        </w:tc>
        <w:tc>
          <w:tcPr>
            <w:tcW w:w="22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w:t>
            </w:r>
          </w:p>
        </w:tc>
      </w:tr>
      <w:tr>
        <w:tblPrEx>
          <w:tblCellMar>
            <w:top w:w="0" w:type="dxa"/>
            <w:left w:w="108" w:type="dxa"/>
            <w:bottom w:w="0" w:type="dxa"/>
            <w:right w:w="108" w:type="dxa"/>
          </w:tblCellMar>
        </w:tblPrEx>
        <w:trPr>
          <w:trHeight w:val="312" w:hRule="atLeast"/>
          <w:jc w:val="center"/>
        </w:trPr>
        <w:tc>
          <w:tcPr>
            <w:tcW w:w="3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100以下</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100-500</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0.80%</w:t>
            </w: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500-1000</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0.45%</w:t>
            </w: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1000-5000</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0.25%</w:t>
            </w:r>
          </w:p>
        </w:tc>
      </w:tr>
    </w:tbl>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（2）采购代理服务费=按上述标准计算金额×中标折扣率（64.5%）。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（3）最低收费金额为7000元，按上述标准计算乘以中标折扣率后的服务费不足7000元的按7000元计算。</w:t>
      </w:r>
    </w:p>
    <w:p>
      <w:pPr>
        <w:tabs>
          <w:tab w:val="left" w:pos="510"/>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（3）专家评审费按有关规定收取。</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单位名称：江苏仁禾中衡工程咨询房地产估价有限公司常州分公司</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ascii="宋体" w:hAnsi="宋体"/>
          <w:bCs/>
          <w:sz w:val="24"/>
          <w:szCs w:val="24"/>
        </w:rPr>
        <w:br w:type="page"/>
      </w:r>
    </w:p>
    <w:p>
      <w:pPr>
        <w:pStyle w:val="122"/>
        <w:rPr>
          <w:rFonts w:ascii="宋体" w:hAnsi="宋体"/>
          <w:sz w:val="24"/>
          <w:szCs w:val="24"/>
          <w:highlight w:val="none"/>
        </w:rPr>
      </w:pPr>
      <w:bookmarkStart w:id="46" w:name="_Toc92976617"/>
      <w:bookmarkStart w:id="47" w:name="_Toc55147047"/>
      <w:r>
        <w:rPr>
          <w:rFonts w:hint="eastAsia"/>
          <w:highlight w:val="none"/>
        </w:rPr>
        <w:t>三．项目技术要求和有关说明</w:t>
      </w:r>
      <w:bookmarkEnd w:id="46"/>
      <w:bookmarkEnd w:id="47"/>
    </w:p>
    <w:p>
      <w:pPr>
        <w:keepNext w:val="0"/>
        <w:keepLines w:val="0"/>
        <w:pageBreakBefore w:val="0"/>
        <w:widowControl w:val="0"/>
        <w:kinsoku/>
        <w:wordWrap/>
        <w:overflowPunct/>
        <w:topLinePunct w:val="0"/>
        <w:autoSpaceDE/>
        <w:autoSpaceDN/>
        <w:bidi w:val="0"/>
        <w:adjustRightInd w:val="0"/>
        <w:spacing w:line="360" w:lineRule="auto"/>
        <w:ind w:left="482"/>
        <w:textAlignment w:val="auto"/>
        <w:rPr>
          <w:rFonts w:hint="eastAsia" w:ascii="宋体" w:hAnsi="宋体" w:cs="宋体"/>
          <w:b/>
          <w:sz w:val="24"/>
          <w:szCs w:val="24"/>
          <w:highlight w:val="none"/>
        </w:rPr>
      </w:pPr>
      <w:bookmarkStart w:id="48" w:name="_Toc28359089"/>
      <w:bookmarkStart w:id="49" w:name="_Toc28359012"/>
      <w:bookmarkStart w:id="50" w:name="_Toc35393798"/>
      <w:bookmarkStart w:id="51" w:name="_Toc35393629"/>
      <w:bookmarkStart w:id="52" w:name="_Toc55147048"/>
      <w:bookmarkStart w:id="53" w:name="_Toc92976618"/>
      <w:bookmarkStart w:id="54" w:name="_Toc63173552"/>
      <w:bookmarkStart w:id="55" w:name="_Toc55147050"/>
      <w:r>
        <w:rPr>
          <w:rFonts w:hint="eastAsia" w:ascii="宋体" w:hAnsi="宋体" w:cs="宋体"/>
          <w:b/>
          <w:sz w:val="24"/>
          <w:szCs w:val="24"/>
          <w:highlight w:val="none"/>
        </w:rPr>
        <w:t>一、</w:t>
      </w:r>
      <w:bookmarkEnd w:id="48"/>
      <w:bookmarkEnd w:id="49"/>
      <w:bookmarkEnd w:id="50"/>
      <w:bookmarkEnd w:id="51"/>
      <w:r>
        <w:rPr>
          <w:rFonts w:hint="eastAsia" w:ascii="宋体" w:hAnsi="宋体" w:cs="宋体"/>
          <w:b/>
          <w:sz w:val="24"/>
          <w:szCs w:val="24"/>
          <w:highlight w:val="none"/>
        </w:rPr>
        <w:t>项目名称</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sz w:val="24"/>
          <w:szCs w:val="24"/>
          <w:highlight w:val="none"/>
        </w:rPr>
      </w:pPr>
      <w:r>
        <w:rPr>
          <w:rFonts w:ascii="宋体" w:hAnsi="宋体" w:cs="宋体"/>
          <w:sz w:val="24"/>
          <w:szCs w:val="24"/>
          <w:highlight w:val="none"/>
        </w:rPr>
        <w:t>2022</w:t>
      </w:r>
      <w:r>
        <w:rPr>
          <w:rFonts w:hint="eastAsia" w:ascii="宋体" w:hAnsi="宋体" w:cs="宋体"/>
          <w:sz w:val="24"/>
          <w:szCs w:val="24"/>
          <w:highlight w:val="none"/>
        </w:rPr>
        <w:t>年交通安全设施建设工程实体质量检测服务项目</w:t>
      </w:r>
    </w:p>
    <w:p>
      <w:pPr>
        <w:keepNext w:val="0"/>
        <w:keepLines w:val="0"/>
        <w:pageBreakBefore w:val="0"/>
        <w:widowControl w:val="0"/>
        <w:kinsoku/>
        <w:wordWrap/>
        <w:overflowPunct/>
        <w:topLinePunct w:val="0"/>
        <w:autoSpaceDE/>
        <w:autoSpaceDN/>
        <w:bidi w:val="0"/>
        <w:adjustRightInd w:val="0"/>
        <w:spacing w:line="360" w:lineRule="auto"/>
        <w:ind w:left="482"/>
        <w:textAlignment w:val="auto"/>
        <w:rPr>
          <w:rFonts w:hint="eastAsia" w:ascii="宋体" w:hAnsi="宋体" w:cs="宋体"/>
          <w:b/>
          <w:sz w:val="24"/>
          <w:szCs w:val="24"/>
          <w:highlight w:val="none"/>
        </w:rPr>
      </w:pPr>
      <w:r>
        <w:rPr>
          <w:rFonts w:hint="eastAsia" w:ascii="宋体" w:hAnsi="宋体" w:cs="宋体"/>
          <w:b/>
          <w:sz w:val="24"/>
          <w:szCs w:val="24"/>
          <w:highlight w:val="none"/>
        </w:rPr>
        <w:t>二、项目概况及工作内容</w:t>
      </w:r>
    </w:p>
    <w:p>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一</w:t>
      </w:r>
      <w:r>
        <w:rPr>
          <w:rFonts w:hint="eastAsia" w:ascii="宋体" w:hAnsi="宋体" w:cs="宋体"/>
          <w:b/>
          <w:sz w:val="24"/>
          <w:szCs w:val="24"/>
          <w:highlight w:val="none"/>
          <w:lang w:eastAsia="zh-CN"/>
        </w:rPr>
        <w:t>）</w:t>
      </w:r>
      <w:r>
        <w:rPr>
          <w:rFonts w:hint="eastAsia" w:ascii="宋体" w:hAnsi="宋体" w:cs="宋体"/>
          <w:b/>
          <w:sz w:val="24"/>
          <w:szCs w:val="24"/>
          <w:highlight w:val="none"/>
        </w:rPr>
        <w:t>服务项目概况：</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（1）2021年常州市普通国省道交通安全设施精细化提升工程：</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项目计划总投资1854万元，主要实施232省道K310+626~K318+100段、K321+200~K325+350段中分带三波形护栏，K318+100~K320+110段、K320+450~K321+200段中分带水泥混凝土护栏，封闭中分带道口18处，平面交叉口改造4处。（另附工程数量表）</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（2）2021年常州市普通国省道交通安全设施改建工程：</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项目计划总投资450万元，主要实施239省道、233国道约40000平方米横、纵向标线漆划，约6500平方米标线打磨，拆除新建指路标志11块，限载标志换膜34套，新建桥梁限载标志22套，新建桥梁限载预告标志57块，拆除新建线型诱导标志60套。（另附工程数量表）</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（3）2022年常州市普通国省道交通安全设施精细化提升工程：</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项目计划总投资2154万元，主要实施5.617公里机非隔离护栏，3.78公里路侧护栏，4处平面交叉口改造，6处公铁并行路段交通安全设施隐患处置；其中239省道与104国道平面交叉口改造含一座20米桥梁拼宽改造与公路路基、路面拓宽改造工程（约650万元）。其中104国道和239省道交叉口含4根灌注桩的小应变检测、灰土的标准击实、水稳、沥青面层的配合比验证等试验。</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（4）2022年常州市普通国省道交通安全设施改建工程：</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项目计划投资450万元，主要工作内容是标志标线的更新改造建设，本项目尚未进入设计阶段暂无实体工程量，请预估合理服务费用。</w:t>
      </w:r>
    </w:p>
    <w:p>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二</w:t>
      </w:r>
      <w:r>
        <w:rPr>
          <w:rFonts w:hint="eastAsia" w:ascii="宋体" w:hAnsi="宋体" w:cs="宋体"/>
          <w:b/>
          <w:sz w:val="24"/>
          <w:szCs w:val="24"/>
          <w:highlight w:val="none"/>
          <w:lang w:eastAsia="zh-CN"/>
        </w:rPr>
        <w:t>）项目工作内容：</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对2021年常州市普通国省道交通安全设施精细化提升工程进行工程、2021</w:t>
      </w:r>
      <w:r>
        <w:rPr>
          <w:rFonts w:hint="eastAsia" w:ascii="宋体" w:hAnsi="宋体" w:cs="宋体"/>
          <w:sz w:val="24"/>
          <w:szCs w:val="24"/>
          <w:highlight w:val="none"/>
        </w:rPr>
        <w:t>年常州市普通国省道交通安全设施改建工程竣工验收前内业资料检查和实体质量检测评定，并出具相应报告</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对2022年常州市普通国省道交通安全设施精细化提升工程、2022年常州市普通国省道交通安全设施改建工程进行工程质量检测（业主抽检）以及交工前工程质量检测评定及内业资料检查，并出具相应报告。</w:t>
      </w:r>
    </w:p>
    <w:p>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cs="宋体"/>
          <w:b/>
          <w:sz w:val="24"/>
          <w:szCs w:val="24"/>
          <w:highlight w:val="none"/>
          <w:lang w:eastAsia="zh-CN"/>
        </w:rPr>
      </w:pPr>
      <w:r>
        <w:rPr>
          <w:rFonts w:hint="eastAsia" w:ascii="宋体" w:hAnsi="宋体" w:cs="宋体"/>
          <w:b/>
          <w:sz w:val="24"/>
          <w:szCs w:val="24"/>
          <w:highlight w:val="none"/>
          <w:lang w:val="en-US" w:eastAsia="zh-CN"/>
        </w:rPr>
        <w:t>三</w:t>
      </w:r>
      <w:r>
        <w:rPr>
          <w:rFonts w:hint="eastAsia" w:ascii="宋体" w:hAnsi="宋体" w:cs="宋体"/>
          <w:b/>
          <w:sz w:val="24"/>
          <w:szCs w:val="24"/>
          <w:highlight w:val="none"/>
          <w:lang w:eastAsia="zh-CN"/>
        </w:rPr>
        <w:t>、主要引用规范</w:t>
      </w:r>
    </w:p>
    <w:tbl>
      <w:tblPr>
        <w:tblStyle w:val="32"/>
        <w:tblW w:w="762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jc w:val="center"/>
              <w:rPr>
                <w:rFonts w:ascii="宋体" w:hAnsi="宋体" w:cs="宋体"/>
                <w:b/>
                <w:color w:val="auto"/>
                <w:szCs w:val="21"/>
              </w:rPr>
            </w:pPr>
            <w:r>
              <w:rPr>
                <w:rFonts w:hint="eastAsia" w:ascii="宋体" w:hAnsi="宋体" w:cs="宋体"/>
                <w:b/>
                <w:color w:val="auto"/>
                <w:szCs w:val="21"/>
              </w:rPr>
              <w:t>序号</w:t>
            </w:r>
          </w:p>
        </w:tc>
        <w:tc>
          <w:tcPr>
            <w:tcW w:w="2126" w:type="dxa"/>
            <w:noWrap w:val="0"/>
            <w:vAlign w:val="center"/>
          </w:tcPr>
          <w:p>
            <w:pPr>
              <w:jc w:val="center"/>
              <w:rPr>
                <w:rFonts w:ascii="宋体" w:hAnsi="宋体" w:cs="宋体"/>
                <w:b/>
                <w:color w:val="auto"/>
                <w:szCs w:val="21"/>
              </w:rPr>
            </w:pPr>
            <w:r>
              <w:rPr>
                <w:rFonts w:hint="eastAsia" w:ascii="宋体" w:hAnsi="宋体" w:cs="宋体"/>
                <w:b/>
                <w:color w:val="auto"/>
                <w:szCs w:val="21"/>
              </w:rPr>
              <w:t>标准号</w:t>
            </w:r>
          </w:p>
        </w:tc>
        <w:tc>
          <w:tcPr>
            <w:tcW w:w="4678" w:type="dxa"/>
            <w:noWrap w:val="0"/>
            <w:vAlign w:val="center"/>
          </w:tcPr>
          <w:p>
            <w:pPr>
              <w:jc w:val="center"/>
              <w:rPr>
                <w:rFonts w:ascii="宋体" w:hAnsi="宋体" w:cs="宋体"/>
                <w:b/>
                <w:color w:val="auto"/>
                <w:szCs w:val="21"/>
              </w:rPr>
            </w:pPr>
            <w:r>
              <w:rPr>
                <w:rFonts w:hint="eastAsia" w:ascii="宋体" w:hAnsi="宋体" w:cs="宋体"/>
                <w:b/>
                <w:color w:val="auto"/>
                <w:szCs w:val="21"/>
              </w:rPr>
              <w:t>规程、规范及标准名称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1</w:t>
            </w:r>
          </w:p>
        </w:tc>
        <w:tc>
          <w:tcPr>
            <w:tcW w:w="2126" w:type="dxa"/>
            <w:noWrap w:val="0"/>
            <w:vAlign w:val="center"/>
          </w:tcPr>
          <w:p>
            <w:pPr>
              <w:jc w:val="center"/>
              <w:rPr>
                <w:rFonts w:ascii="宋体" w:hAnsi="宋体" w:cs="宋体"/>
                <w:bCs/>
                <w:color w:val="auto"/>
                <w:szCs w:val="21"/>
              </w:rPr>
            </w:pPr>
            <w:r>
              <w:rPr>
                <w:rFonts w:hint="eastAsia" w:ascii="宋体" w:hAnsi="宋体" w:cs="宋体"/>
                <w:bCs/>
                <w:color w:val="auto"/>
                <w:szCs w:val="21"/>
              </w:rPr>
              <w:t>JTG F80/1-2017</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公路工程质量评定标准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2</w:t>
            </w:r>
          </w:p>
        </w:tc>
        <w:tc>
          <w:tcPr>
            <w:tcW w:w="2126" w:type="dxa"/>
            <w:noWrap w:val="0"/>
            <w:vAlign w:val="center"/>
          </w:tcPr>
          <w:p>
            <w:pPr>
              <w:jc w:val="center"/>
              <w:rPr>
                <w:rFonts w:ascii="宋体" w:hAnsi="宋体" w:cs="宋体"/>
                <w:bCs/>
                <w:color w:val="auto"/>
                <w:szCs w:val="21"/>
              </w:rPr>
            </w:pPr>
            <w:r>
              <w:rPr>
                <w:rFonts w:hint="eastAsia" w:ascii="宋体" w:hAnsi="宋体" w:cs="宋体"/>
                <w:bCs/>
                <w:color w:val="auto"/>
                <w:szCs w:val="21"/>
              </w:rPr>
              <w:t>JT/T 495-2014</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公路安全设施质量检测抽检方法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3</w:t>
            </w:r>
          </w:p>
        </w:tc>
        <w:tc>
          <w:tcPr>
            <w:tcW w:w="2126" w:type="dxa"/>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GB/T 23827-2009</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道路交通标志板及支撑件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4</w:t>
            </w:r>
          </w:p>
        </w:tc>
        <w:tc>
          <w:tcPr>
            <w:tcW w:w="2126" w:type="dxa"/>
            <w:noWrap w:val="0"/>
            <w:vAlign w:val="center"/>
          </w:tcPr>
          <w:p>
            <w:pPr>
              <w:jc w:val="center"/>
              <w:rPr>
                <w:rFonts w:ascii="宋体" w:hAnsi="宋体" w:cs="宋体"/>
                <w:bCs/>
                <w:color w:val="auto"/>
                <w:szCs w:val="21"/>
              </w:rPr>
            </w:pPr>
            <w:r>
              <w:rPr>
                <w:rFonts w:hint="eastAsia" w:ascii="宋体" w:hAnsi="宋体" w:cs="宋体"/>
                <w:bCs/>
                <w:color w:val="auto"/>
                <w:szCs w:val="21"/>
              </w:rPr>
              <w:t>GB5768.2-2009</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公路交通标志和标线第二部分：道路交通标志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5</w:t>
            </w:r>
          </w:p>
        </w:tc>
        <w:tc>
          <w:tcPr>
            <w:tcW w:w="2126" w:type="dxa"/>
            <w:noWrap w:val="0"/>
            <w:vAlign w:val="center"/>
          </w:tcPr>
          <w:p>
            <w:pPr>
              <w:jc w:val="center"/>
              <w:rPr>
                <w:rFonts w:ascii="宋体" w:hAnsi="宋体" w:cs="宋体"/>
                <w:bCs/>
                <w:color w:val="auto"/>
                <w:szCs w:val="21"/>
              </w:rPr>
            </w:pPr>
            <w:r>
              <w:rPr>
                <w:rFonts w:hint="eastAsia" w:ascii="宋体" w:hAnsi="宋体" w:cs="宋体"/>
                <w:bCs/>
                <w:color w:val="auto"/>
                <w:szCs w:val="21"/>
              </w:rPr>
              <w:t>GB5768.3-2009</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公路交通标志和标线第三部分：道路交通标线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6</w:t>
            </w:r>
          </w:p>
        </w:tc>
        <w:tc>
          <w:tcPr>
            <w:tcW w:w="2126" w:type="dxa"/>
            <w:noWrap w:val="0"/>
            <w:vAlign w:val="center"/>
          </w:tcPr>
          <w:p>
            <w:pPr>
              <w:jc w:val="center"/>
              <w:rPr>
                <w:rFonts w:ascii="宋体" w:hAnsi="宋体" w:cs="宋体"/>
                <w:bCs/>
                <w:color w:val="auto"/>
                <w:szCs w:val="21"/>
              </w:rPr>
            </w:pPr>
            <w:r>
              <w:rPr>
                <w:rFonts w:hint="eastAsia" w:ascii="宋体" w:hAnsi="宋体" w:cs="宋体"/>
                <w:bCs/>
                <w:color w:val="auto"/>
                <w:szCs w:val="21"/>
              </w:rPr>
              <w:t>GB/T 31439.1-2015</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波形梁钢护栏 第一部分：两波形梁钢护栏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jc w:val="center"/>
              <w:rPr>
                <w:rFonts w:ascii="宋体" w:hAnsi="宋体" w:cs="宋体"/>
                <w:bCs/>
                <w:color w:val="auto"/>
                <w:szCs w:val="21"/>
              </w:rPr>
            </w:pPr>
            <w:r>
              <w:rPr>
                <w:rFonts w:hint="eastAsia" w:ascii="宋体" w:hAnsi="宋体" w:cs="宋体"/>
                <w:bCs/>
                <w:color w:val="auto"/>
                <w:szCs w:val="21"/>
              </w:rPr>
              <w:t>7</w:t>
            </w:r>
          </w:p>
        </w:tc>
        <w:tc>
          <w:tcPr>
            <w:tcW w:w="2126" w:type="dxa"/>
            <w:noWrap w:val="0"/>
            <w:vAlign w:val="center"/>
          </w:tcPr>
          <w:p>
            <w:pPr>
              <w:jc w:val="center"/>
              <w:rPr>
                <w:rFonts w:ascii="宋体" w:hAnsi="宋体" w:cs="宋体"/>
                <w:bCs/>
                <w:color w:val="auto"/>
                <w:szCs w:val="21"/>
              </w:rPr>
            </w:pPr>
            <w:r>
              <w:rPr>
                <w:rFonts w:hint="eastAsia" w:ascii="宋体" w:hAnsi="宋体" w:cs="宋体"/>
                <w:bCs/>
                <w:color w:val="auto"/>
                <w:szCs w:val="21"/>
              </w:rPr>
              <w:t>GB/T 31439.2-2015</w:t>
            </w:r>
          </w:p>
        </w:tc>
        <w:tc>
          <w:tcPr>
            <w:tcW w:w="4678" w:type="dxa"/>
            <w:noWrap w:val="0"/>
            <w:vAlign w:val="center"/>
          </w:tcPr>
          <w:p>
            <w:pPr>
              <w:jc w:val="center"/>
              <w:rPr>
                <w:rFonts w:ascii="宋体" w:hAnsi="宋体" w:cs="宋体"/>
                <w:bCs/>
                <w:color w:val="auto"/>
                <w:szCs w:val="21"/>
              </w:rPr>
            </w:pPr>
            <w:r>
              <w:rPr>
                <w:rFonts w:hint="eastAsia" w:ascii="宋体" w:hAnsi="宋体" w:cs="宋体"/>
                <w:bCs/>
                <w:color w:val="auto"/>
                <w:szCs w:val="21"/>
              </w:rPr>
              <w:t>波形梁钢护栏 第一部分：三波形梁钢护栏</w:t>
            </w:r>
          </w:p>
        </w:tc>
      </w:tr>
    </w:tbl>
    <w:p>
      <w:pPr>
        <w:numPr>
          <w:numId w:val="0"/>
        </w:numPr>
        <w:adjustRightInd w:val="0"/>
        <w:spacing w:line="360" w:lineRule="auto"/>
        <w:ind w:left="510" w:leftChars="0"/>
        <w:rPr>
          <w:rFonts w:hint="eastAsia" w:ascii="宋体" w:hAnsi="宋体" w:cs="宋体"/>
          <w:b/>
          <w:sz w:val="24"/>
          <w:szCs w:val="24"/>
        </w:rPr>
      </w:pPr>
      <w:r>
        <w:rPr>
          <w:rFonts w:hint="eastAsia" w:ascii="宋体" w:hAnsi="宋体" w:cs="宋体"/>
          <w:b/>
          <w:sz w:val="24"/>
          <w:szCs w:val="24"/>
          <w:lang w:val="en-US" w:eastAsia="zh-CN"/>
        </w:rPr>
        <w:t>四、检测项目</w:t>
      </w:r>
      <w:r>
        <w:rPr>
          <w:rFonts w:hint="eastAsia" w:ascii="宋体" w:hAnsi="宋体" w:cs="宋体"/>
          <w:b/>
          <w:sz w:val="24"/>
          <w:szCs w:val="24"/>
        </w:rPr>
        <w:t>清单</w:t>
      </w:r>
    </w:p>
    <w:tbl>
      <w:tblPr>
        <w:tblStyle w:val="32"/>
        <w:tblW w:w="4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Align w:val="center"/>
          </w:tcPr>
          <w:p>
            <w:pPr>
              <w:jc w:val="center"/>
              <w:rPr>
                <w:rFonts w:asciiTheme="minorEastAsia" w:hAnsiTheme="minorEastAsia"/>
                <w:sz w:val="24"/>
                <w:szCs w:val="24"/>
              </w:rPr>
            </w:pPr>
            <w:r>
              <w:rPr>
                <w:rFonts w:hint="eastAsia" w:asciiTheme="minorEastAsia" w:hAnsiTheme="minorEastAsia"/>
                <w:sz w:val="24"/>
                <w:szCs w:val="24"/>
              </w:rPr>
              <w:t>项目名称</w:t>
            </w: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restart"/>
            <w:vAlign w:val="center"/>
          </w:tcPr>
          <w:p>
            <w:pPr>
              <w:jc w:val="center"/>
              <w:rPr>
                <w:rFonts w:asciiTheme="minorEastAsia" w:hAnsiTheme="minorEastAsia"/>
                <w:sz w:val="24"/>
                <w:szCs w:val="24"/>
              </w:rPr>
            </w:pPr>
            <w:r>
              <w:rPr>
                <w:rFonts w:hint="eastAsia" w:asciiTheme="minorEastAsia" w:hAnsiTheme="minorEastAsia"/>
                <w:sz w:val="24"/>
                <w:szCs w:val="24"/>
              </w:rPr>
              <w:t>标志</w:t>
            </w: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立柱竖直度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标志板下缘至路面净空高度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标志面反光膜逆反射系数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标志基础尺寸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标志板外形尺寸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标志底板厚度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立柱镀（涂）层厚度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restart"/>
            <w:vAlign w:val="center"/>
          </w:tcPr>
          <w:p>
            <w:pPr>
              <w:jc w:val="center"/>
              <w:rPr>
                <w:rFonts w:asciiTheme="minorEastAsia" w:hAnsiTheme="minorEastAsia"/>
                <w:sz w:val="24"/>
                <w:szCs w:val="24"/>
              </w:rPr>
            </w:pPr>
            <w:r>
              <w:rPr>
                <w:rFonts w:hint="eastAsia" w:asciiTheme="minorEastAsia" w:hAnsiTheme="minorEastAsia"/>
                <w:sz w:val="24"/>
                <w:szCs w:val="24"/>
              </w:rPr>
              <w:t>防护栏</w:t>
            </w: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波形梁板基底金属厚度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立柱基底金属壁厚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镀（涂）层厚度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横梁中心高度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立柱中距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立柱竖直度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立柱埋置深度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restart"/>
            <w:vAlign w:val="center"/>
          </w:tcPr>
          <w:p>
            <w:pPr>
              <w:jc w:val="center"/>
              <w:rPr>
                <w:rFonts w:asciiTheme="minorEastAsia" w:hAnsiTheme="minorEastAsia"/>
                <w:sz w:val="24"/>
                <w:szCs w:val="24"/>
              </w:rPr>
            </w:pPr>
            <w:r>
              <w:rPr>
                <w:rFonts w:hint="eastAsia" w:asciiTheme="minorEastAsia" w:hAnsiTheme="minorEastAsia"/>
                <w:sz w:val="24"/>
                <w:szCs w:val="24"/>
              </w:rPr>
              <w:t>标线</w:t>
            </w: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标线横向偏位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标线纵向间距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标线抗滑值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470" w:type="pct"/>
            <w:vMerge w:val="continue"/>
            <w:vAlign w:val="center"/>
          </w:tcPr>
          <w:p>
            <w:pPr>
              <w:jc w:val="center"/>
              <w:rPr>
                <w:rFonts w:asciiTheme="minorEastAsia" w:hAnsiTheme="minorEastAsia"/>
                <w:sz w:val="24"/>
                <w:szCs w:val="24"/>
              </w:rPr>
            </w:pPr>
          </w:p>
        </w:tc>
        <w:tc>
          <w:tcPr>
            <w:tcW w:w="3529" w:type="pct"/>
            <w:vAlign w:val="center"/>
          </w:tcPr>
          <w:p>
            <w:pPr>
              <w:jc w:val="center"/>
              <w:rPr>
                <w:rFonts w:asciiTheme="minorEastAsia" w:hAnsiTheme="minorEastAsia"/>
                <w:sz w:val="24"/>
                <w:szCs w:val="24"/>
              </w:rPr>
            </w:pPr>
            <w:r>
              <w:rPr>
                <w:rFonts w:hint="eastAsia" w:asciiTheme="minorEastAsia" w:hAnsiTheme="minorEastAsia"/>
                <w:sz w:val="24"/>
                <w:szCs w:val="24"/>
              </w:rPr>
              <w:t>标线逆反射亮度系数</w:t>
            </w:r>
          </w:p>
        </w:tc>
      </w:tr>
    </w:tbl>
    <w:p>
      <w:pPr>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备注：抽检项目内容：依据实际情况按规范要求抽检（包含但不仅限于上述清单），抽检比例：不少于总工程量5% </w:t>
      </w:r>
    </w:p>
    <w:p>
      <w:pPr>
        <w:adjustRightIn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五、</w:t>
      </w:r>
      <w:r>
        <w:rPr>
          <w:rFonts w:hint="eastAsia" w:ascii="宋体" w:hAnsi="宋体" w:cs="宋体"/>
          <w:b/>
          <w:sz w:val="24"/>
          <w:szCs w:val="24"/>
        </w:rPr>
        <w:t>检测服务要求：</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（1）现场实体质量及原材料检测工作应在现场检测、进场取样后，</w:t>
      </w:r>
      <w:r>
        <w:rPr>
          <w:rFonts w:hint="eastAsia" w:ascii="宋体" w:hAnsi="宋体" w:cs="宋体"/>
          <w:sz w:val="24"/>
          <w:szCs w:val="24"/>
          <w:lang w:val="en-US" w:eastAsia="zh-CN"/>
        </w:rPr>
        <w:t>15</w:t>
      </w:r>
      <w:r>
        <w:rPr>
          <w:rFonts w:hint="eastAsia" w:ascii="宋体" w:hAnsi="宋体" w:cs="宋体"/>
          <w:sz w:val="24"/>
          <w:szCs w:val="24"/>
        </w:rPr>
        <w:t>日内提交工程实体、原材料质量合格的检测成果资料，确保所检测的试验数据的真实准确，并对检测结果负责。</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（2）技术服务按相关国家标准执行，采用提交报告方式验收。</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（3）对检测结果要保密，提供后续技术支持服务。</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（4）违约责任</w:t>
      </w:r>
      <w:r>
        <w:rPr>
          <w:rFonts w:ascii="宋体" w:hAnsi="宋体" w:cs="宋体"/>
          <w:sz w:val="24"/>
          <w:szCs w:val="24"/>
        </w:rPr>
        <w:t>:</w:t>
      </w:r>
      <w:r>
        <w:rPr>
          <w:rFonts w:hint="eastAsia" w:ascii="宋体" w:hAnsi="宋体" w:cs="宋体"/>
          <w:sz w:val="24"/>
          <w:szCs w:val="24"/>
        </w:rPr>
        <w:t>甲乙双方一方违约，不执行、不遵守合同约定条款，且在另一方发出通知后的</w:t>
      </w:r>
      <w:r>
        <w:rPr>
          <w:rFonts w:ascii="宋体" w:hAnsi="宋体" w:cs="宋体"/>
          <w:sz w:val="24"/>
          <w:szCs w:val="24"/>
        </w:rPr>
        <w:t xml:space="preserve">15 </w:t>
      </w:r>
      <w:r>
        <w:rPr>
          <w:rFonts w:hint="eastAsia" w:ascii="宋体" w:hAnsi="宋体" w:cs="宋体"/>
          <w:sz w:val="24"/>
          <w:szCs w:val="24"/>
        </w:rPr>
        <w:t>天内仍未采取弥补措施的，另一方有权单方面解除该项目合同，并要求违约方承担违约金，如违约金金额低于实际损失的，违约方必须另外予以补偿。</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（5）服务期限：自合同签订之起至检测任务全部完成止。</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（6）服务地点（实质性要求）：采购人指定地点。</w:t>
      </w:r>
    </w:p>
    <w:p>
      <w:pPr>
        <w:adjustRightInd w:val="0"/>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六</w:t>
      </w:r>
      <w:r>
        <w:rPr>
          <w:rFonts w:hint="eastAsia" w:ascii="宋体" w:hAnsi="宋体" w:cs="宋体"/>
          <w:b/>
          <w:bCs/>
          <w:color w:val="auto"/>
          <w:sz w:val="24"/>
          <w:szCs w:val="24"/>
        </w:rPr>
        <w:t>、报价依据</w:t>
      </w:r>
    </w:p>
    <w:p>
      <w:pPr>
        <w:adjustRightInd w:val="0"/>
        <w:spacing w:line="360" w:lineRule="auto"/>
        <w:ind w:firstLine="480" w:firstLineChars="200"/>
        <w:rPr>
          <w:rFonts w:ascii="宋体" w:hAnsi="宋体" w:cs="宋体"/>
          <w:b/>
          <w:bCs/>
          <w:color w:val="auto"/>
          <w:sz w:val="24"/>
          <w:szCs w:val="24"/>
        </w:rPr>
      </w:pPr>
      <w:bookmarkStart w:id="56" w:name="_Hlk87886315"/>
      <w:r>
        <w:rPr>
          <w:rFonts w:hint="eastAsia" w:ascii="宋体" w:hAnsi="宋体" w:cs="宋体"/>
          <w:color w:val="auto"/>
          <w:sz w:val="24"/>
          <w:szCs w:val="24"/>
        </w:rPr>
        <w:t>（1）本项目最高限价为25万元，供应商根据委托检测范围的项目及内容填报综合单价及总价。投标总价不得超出其最高限价，否则视为无效报价，</w:t>
      </w:r>
      <w:r>
        <w:rPr>
          <w:rFonts w:hint="eastAsia" w:ascii="宋体" w:hAnsi="宋体" w:cs="宋体"/>
          <w:b/>
          <w:bCs/>
          <w:color w:val="auto"/>
          <w:sz w:val="24"/>
          <w:szCs w:val="24"/>
        </w:rPr>
        <w:t>其中239省道与104国道交叉口检测费用为5万元固定价包干，请投标人在报价时按此固定费用综合考虑投标总价。</w:t>
      </w:r>
    </w:p>
    <w:bookmarkEnd w:id="56"/>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2）响应单位的投标价，应综合考虑完成本合同所有内容所需的全部费用，包括：检测及管理人员费用、检测报告费用、现场费用、交通安全措施费（到交警、路政等部门办理相关手续发生的费用包含在合同报价清单单价中，不单独报价）、评审会务费（含专家费）、交通工具及使用费、检测设备、测量仪器费及相关费用、公司取费、法定税金、利润等本采购文件明示或暗示的所有一般风险、责任和义务等费用。</w:t>
      </w:r>
    </w:p>
    <w:p>
      <w:pPr>
        <w:adjustRightIn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、检测单位人员配备要求</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本项目需配备项目负责人1名、项目组成员至少3名（除项目负责人外），上述人员均须具有检测上岗证。成交供应商须为本项目配备的所有服务人员按规定缴纳社会保险及人身意外险，若工作人员在服务期间内出现的工伤及其他意外事故，均由成交供应商自行负责，采购人不承担任何责任。响应文件中须详细列出人员名单、分工及上岗证书。</w:t>
      </w:r>
    </w:p>
    <w:p>
      <w:pPr>
        <w:adjustRightIn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、付款方式</w:t>
      </w:r>
    </w:p>
    <w:p>
      <w:pPr>
        <w:adjustRightInd w:val="0"/>
        <w:spacing w:line="360" w:lineRule="auto"/>
        <w:ind w:firstLine="480" w:firstLineChars="200"/>
        <w:rPr>
          <w:rFonts w:ascii="黑体" w:hAnsi="黑体" w:eastAsia="黑体" w:cs="Times New Roman"/>
          <w:bCs/>
          <w:kern w:val="0"/>
          <w:sz w:val="28"/>
          <w:szCs w:val="28"/>
        </w:rPr>
      </w:pPr>
      <w:r>
        <w:rPr>
          <w:rFonts w:ascii="宋体" w:hAnsi="宋体" w:cs="宋体"/>
          <w:sz w:val="24"/>
          <w:szCs w:val="24"/>
        </w:rPr>
        <w:t>完成全部检测内容并出具报告后</w:t>
      </w:r>
      <w:r>
        <w:rPr>
          <w:rFonts w:hint="eastAsia" w:ascii="宋体" w:hAnsi="宋体" w:cs="宋体"/>
          <w:sz w:val="24"/>
          <w:szCs w:val="24"/>
        </w:rPr>
        <w:t>，中标人提供符合要求的增值税普通发票，采购人收到发票后10个工作日内一次性付清。</w:t>
      </w:r>
      <w:r>
        <w:rPr>
          <w:rFonts w:ascii="黑体" w:hAnsi="黑体" w:eastAsia="黑体" w:cs="Times New Roman"/>
          <w:bCs/>
          <w:kern w:val="0"/>
          <w:sz w:val="28"/>
          <w:szCs w:val="28"/>
        </w:rPr>
        <w:br w:type="page"/>
      </w:r>
    </w:p>
    <w:p>
      <w:pPr>
        <w:keepNext/>
        <w:spacing w:line="360" w:lineRule="auto"/>
        <w:jc w:val="center"/>
        <w:outlineLvl w:val="0"/>
        <w:rPr>
          <w:rFonts w:ascii="黑体" w:hAnsi="黑体" w:eastAsia="黑体" w:cs="Times New Roman"/>
          <w:bCs/>
          <w:kern w:val="0"/>
          <w:sz w:val="28"/>
          <w:szCs w:val="28"/>
        </w:rPr>
      </w:pPr>
      <w:r>
        <w:rPr>
          <w:rFonts w:hint="eastAsia" w:ascii="黑体" w:hAnsi="黑体" w:eastAsia="黑体" w:cs="Times New Roman"/>
          <w:bCs/>
          <w:kern w:val="0"/>
          <w:sz w:val="28"/>
          <w:szCs w:val="28"/>
        </w:rPr>
        <w:t>四．</w:t>
      </w:r>
      <w:bookmarkEnd w:id="52"/>
      <w:r>
        <w:rPr>
          <w:rFonts w:hint="eastAsia" w:ascii="黑体" w:hAnsi="黑体" w:eastAsia="黑体" w:cs="Times New Roman"/>
          <w:bCs/>
          <w:kern w:val="0"/>
          <w:sz w:val="28"/>
          <w:szCs w:val="28"/>
        </w:rPr>
        <w:t>合同条款及格式</w:t>
      </w:r>
      <w:bookmarkEnd w:id="53"/>
      <w:bookmarkEnd w:id="54"/>
    </w:p>
    <w:p>
      <w:pPr>
        <w:spacing w:line="480" w:lineRule="auto"/>
        <w:rPr>
          <w:rFonts w:ascii="黑体" w:hAnsi="黑体" w:eastAsia="黑体"/>
          <w:sz w:val="28"/>
          <w:szCs w:val="28"/>
          <w:u w:val="single"/>
        </w:rPr>
      </w:pPr>
      <w:r>
        <w:rPr>
          <w:rFonts w:hint="eastAsia" w:ascii="黑体" w:hAnsi="黑体" w:eastAsia="黑体"/>
          <w:sz w:val="28"/>
          <w:szCs w:val="28"/>
        </w:rPr>
        <w:t>合同编号：</w:t>
      </w:r>
    </w:p>
    <w:p>
      <w:pPr>
        <w:jc w:val="right"/>
        <w:rPr>
          <w:rFonts w:ascii="仿宋" w:hAnsi="仿宋" w:eastAsia="仿宋"/>
          <w:sz w:val="30"/>
          <w:szCs w:val="30"/>
        </w:rPr>
      </w:pPr>
      <w:r>
        <w:rPr>
          <w:rFonts w:hint="eastAsia" w:ascii="仿宋" w:hAnsi="仿宋" w:eastAsia="仿宋"/>
          <w:sz w:val="30"/>
          <w:szCs w:val="30"/>
        </w:rPr>
        <w:t xml:space="preserve">参考格式                                          </w:t>
      </w:r>
    </w:p>
    <w:p>
      <w:pPr>
        <w:spacing w:line="480" w:lineRule="auto"/>
        <w:jc w:val="center"/>
        <w:rPr>
          <w:rFonts w:ascii="黑体" w:hAnsi="黑体" w:eastAsia="黑体"/>
          <w:bCs/>
          <w:sz w:val="48"/>
          <w:szCs w:val="44"/>
        </w:rPr>
      </w:pPr>
      <w:r>
        <w:rPr>
          <w:rFonts w:hint="eastAsia" w:ascii="黑体" w:hAnsi="黑体" w:eastAsia="黑体"/>
          <w:bCs/>
          <w:sz w:val="48"/>
          <w:szCs w:val="44"/>
        </w:rPr>
        <w:t xml:space="preserve">政府采购合同  </w:t>
      </w:r>
    </w:p>
    <w:p>
      <w:pPr>
        <w:autoSpaceDE w:val="0"/>
        <w:autoSpaceDN w:val="0"/>
        <w:adjustRightInd w:val="0"/>
        <w:spacing w:line="560" w:lineRule="exact"/>
        <w:ind w:firstLine="200"/>
        <w:jc w:val="center"/>
        <w:outlineLvl w:val="0"/>
        <w:rPr>
          <w:rFonts w:ascii="宋体" w:hAnsi="宋体"/>
          <w:b/>
          <w:bCs/>
          <w:sz w:val="24"/>
        </w:rPr>
      </w:pPr>
      <w:bookmarkStart w:id="57" w:name="_Toc92976619"/>
      <w:r>
        <w:rPr>
          <w:rFonts w:ascii="宋体" w:hAnsi="宋体"/>
          <w:b/>
          <w:bCs/>
          <w:sz w:val="24"/>
        </w:rPr>
        <w:t>第一部分</w:t>
      </w:r>
      <w:r>
        <w:rPr>
          <w:rFonts w:hint="eastAsia" w:ascii="宋体" w:hAnsi="宋体"/>
          <w:b/>
          <w:bCs/>
          <w:sz w:val="24"/>
        </w:rPr>
        <w:t xml:space="preserve"> 合同</w:t>
      </w:r>
      <w:bookmarkEnd w:id="57"/>
    </w:p>
    <w:p>
      <w:pPr>
        <w:autoSpaceDE w:val="0"/>
        <w:autoSpaceDN w:val="0"/>
        <w:adjustRightInd w:val="0"/>
        <w:jc w:val="left"/>
        <w:rPr>
          <w:rFonts w:ascii="楷体" w:hAnsi="楷体" w:eastAsia="楷体"/>
          <w:sz w:val="24"/>
        </w:rPr>
      </w:pPr>
    </w:p>
    <w:p>
      <w:pPr>
        <w:autoSpaceDE w:val="0"/>
        <w:autoSpaceDN w:val="0"/>
        <w:adjustRightInd w:val="0"/>
        <w:jc w:val="left"/>
        <w:rPr>
          <w:rFonts w:ascii="楷体" w:hAnsi="楷体" w:eastAsia="楷体"/>
          <w:sz w:val="24"/>
        </w:rPr>
      </w:pPr>
    </w:p>
    <w:p>
      <w:pPr>
        <w:spacing w:before="120" w:line="240" w:lineRule="atLeast"/>
        <w:rPr>
          <w:rFonts w:ascii="楷体" w:hAnsi="楷体" w:eastAsia="楷体"/>
          <w:sz w:val="24"/>
        </w:rPr>
      </w:pPr>
    </w:p>
    <w:p>
      <w:pPr>
        <w:spacing w:before="120" w:line="240" w:lineRule="atLeast"/>
        <w:ind w:left="960"/>
        <w:rPr>
          <w:rFonts w:hint="default" w:ascii="黑体" w:hAnsi="黑体" w:eastAsia="黑体"/>
          <w:sz w:val="32"/>
          <w:szCs w:val="28"/>
          <w:u w:val="single"/>
          <w:lang w:val="en-US" w:eastAsia="zh-CN"/>
        </w:rPr>
      </w:pPr>
      <w:r>
        <w:rPr>
          <w:rFonts w:hint="eastAsia" w:ascii="黑体" w:hAnsi="黑体" w:eastAsia="黑体"/>
          <w:sz w:val="32"/>
          <w:szCs w:val="28"/>
        </w:rPr>
        <w:t>项目名称：</w:t>
      </w:r>
      <w:r>
        <w:rPr>
          <w:rFonts w:hint="eastAsia" w:ascii="黑体" w:hAnsi="黑体" w:eastAsia="黑体"/>
          <w:sz w:val="32"/>
          <w:szCs w:val="28"/>
          <w:u w:val="single"/>
          <w:lang w:val="en-US" w:eastAsia="zh-CN"/>
        </w:rPr>
        <w:t xml:space="preserve">                                 </w:t>
      </w:r>
    </w:p>
    <w:p>
      <w:pPr>
        <w:rPr>
          <w:rFonts w:ascii="黑体" w:hAnsi="黑体" w:eastAsia="黑体"/>
          <w:sz w:val="32"/>
          <w:szCs w:val="28"/>
        </w:rPr>
      </w:pPr>
    </w:p>
    <w:p>
      <w:pPr>
        <w:spacing w:before="120" w:line="240" w:lineRule="atLeast"/>
        <w:ind w:left="960"/>
        <w:rPr>
          <w:rFonts w:ascii="黑体" w:hAnsi="黑体" w:eastAsia="黑体"/>
          <w:sz w:val="32"/>
          <w:szCs w:val="28"/>
          <w:u w:val="single"/>
        </w:rPr>
      </w:pPr>
      <w:r>
        <w:rPr>
          <w:rFonts w:hint="eastAsia" w:ascii="黑体" w:hAnsi="黑体" w:eastAsia="黑体"/>
          <w:sz w:val="32"/>
          <w:szCs w:val="28"/>
        </w:rPr>
        <w:t>甲方：</w:t>
      </w:r>
      <w:r>
        <w:rPr>
          <w:rFonts w:hint="eastAsia" w:ascii="黑体" w:hAnsi="黑体" w:eastAsia="黑体"/>
          <w:sz w:val="32"/>
          <w:szCs w:val="28"/>
          <w:u w:val="single"/>
          <w:lang w:val="en-US" w:eastAsia="zh-CN"/>
        </w:rPr>
        <w:t xml:space="preserve">                                 </w:t>
      </w:r>
    </w:p>
    <w:p>
      <w:pPr>
        <w:spacing w:before="120" w:line="240" w:lineRule="atLeast"/>
        <w:rPr>
          <w:rFonts w:ascii="黑体" w:hAnsi="黑体" w:eastAsia="黑体"/>
          <w:sz w:val="32"/>
          <w:szCs w:val="28"/>
        </w:rPr>
      </w:pPr>
    </w:p>
    <w:p>
      <w:pPr>
        <w:spacing w:before="120" w:line="240" w:lineRule="atLeast"/>
        <w:ind w:left="960"/>
        <w:rPr>
          <w:rFonts w:ascii="黑体" w:hAnsi="黑体" w:eastAsia="黑体"/>
          <w:sz w:val="32"/>
          <w:szCs w:val="28"/>
          <w:u w:val="single"/>
        </w:rPr>
      </w:pPr>
      <w:r>
        <w:rPr>
          <w:rFonts w:hint="eastAsia" w:ascii="黑体" w:hAnsi="黑体" w:eastAsia="黑体"/>
          <w:sz w:val="32"/>
          <w:szCs w:val="28"/>
        </w:rPr>
        <w:t>乙方：</w:t>
      </w:r>
      <w:r>
        <w:rPr>
          <w:rFonts w:hint="eastAsia" w:ascii="黑体" w:hAnsi="黑体" w:eastAsia="黑体"/>
          <w:sz w:val="32"/>
          <w:szCs w:val="28"/>
          <w:u w:val="single"/>
          <w:lang w:val="en-US" w:eastAsia="zh-CN"/>
        </w:rPr>
        <w:t xml:space="preserve">                                 </w:t>
      </w:r>
    </w:p>
    <w:p>
      <w:pPr>
        <w:spacing w:before="120" w:line="240" w:lineRule="atLeast"/>
        <w:rPr>
          <w:rFonts w:ascii="黑体" w:hAnsi="黑体" w:eastAsia="黑体"/>
          <w:sz w:val="32"/>
          <w:szCs w:val="28"/>
        </w:rPr>
      </w:pPr>
    </w:p>
    <w:p>
      <w:pPr>
        <w:spacing w:before="120" w:line="240" w:lineRule="atLeast"/>
        <w:ind w:firstLine="960" w:firstLineChars="300"/>
        <w:rPr>
          <w:rFonts w:ascii="黑体" w:hAnsi="黑体" w:eastAsia="黑体"/>
          <w:sz w:val="32"/>
          <w:szCs w:val="28"/>
        </w:rPr>
      </w:pPr>
      <w:r>
        <w:rPr>
          <w:rFonts w:hint="eastAsia" w:ascii="黑体" w:hAnsi="黑体" w:eastAsia="黑体"/>
          <w:sz w:val="32"/>
          <w:szCs w:val="28"/>
        </w:rPr>
        <w:t>代理机构：</w:t>
      </w:r>
      <w:r>
        <w:rPr>
          <w:rFonts w:hint="eastAsia" w:ascii="黑体" w:hAnsi="黑体" w:eastAsia="黑体"/>
          <w:sz w:val="32"/>
          <w:szCs w:val="28"/>
          <w:u w:val="single"/>
        </w:rPr>
        <w:t xml:space="preserve">江苏仁禾中衡工程咨询房地产估价有限公司        </w:t>
      </w:r>
    </w:p>
    <w:p>
      <w:pPr>
        <w:spacing w:before="120" w:line="240" w:lineRule="atLeast"/>
        <w:rPr>
          <w:rFonts w:ascii="黑体" w:hAnsi="黑体" w:eastAsia="黑体"/>
          <w:sz w:val="32"/>
          <w:szCs w:val="28"/>
        </w:rPr>
      </w:pPr>
    </w:p>
    <w:p>
      <w:pPr>
        <w:spacing w:before="120" w:line="240" w:lineRule="atLeast"/>
        <w:ind w:firstLine="960" w:firstLineChars="300"/>
        <w:rPr>
          <w:rFonts w:ascii="黑体" w:hAnsi="黑体" w:eastAsia="黑体"/>
          <w:sz w:val="28"/>
          <w:szCs w:val="28"/>
          <w:u w:val="single"/>
        </w:rPr>
      </w:pPr>
      <w:r>
        <w:rPr>
          <w:rFonts w:hint="eastAsia" w:ascii="黑体" w:hAnsi="黑体" w:eastAsia="黑体"/>
          <w:sz w:val="32"/>
          <w:szCs w:val="28"/>
        </w:rPr>
        <w:t>签订地：</w:t>
      </w:r>
      <w:r>
        <w:rPr>
          <w:rFonts w:hint="eastAsia" w:ascii="黑体" w:hAnsi="黑体" w:eastAsia="黑体"/>
          <w:sz w:val="32"/>
          <w:szCs w:val="28"/>
          <w:u w:val="single"/>
          <w:lang w:val="en-US" w:eastAsia="zh-CN"/>
        </w:rPr>
        <w:t xml:space="preserve">                                 </w:t>
      </w:r>
    </w:p>
    <w:p>
      <w:pPr>
        <w:spacing w:before="120" w:line="240" w:lineRule="atLeast"/>
        <w:ind w:firstLine="1400" w:firstLineChars="500"/>
        <w:rPr>
          <w:rFonts w:ascii="黑体" w:hAnsi="黑体" w:eastAsia="黑体"/>
          <w:sz w:val="28"/>
        </w:rPr>
      </w:pPr>
    </w:p>
    <w:p>
      <w:pPr>
        <w:spacing w:before="120" w:line="240" w:lineRule="atLeast"/>
        <w:ind w:firstLine="1120" w:firstLineChars="400"/>
        <w:rPr>
          <w:rFonts w:ascii="黑体" w:hAnsi="黑体" w:eastAsia="黑体"/>
          <w:sz w:val="28"/>
        </w:rPr>
      </w:pPr>
      <w:r>
        <w:rPr>
          <w:rFonts w:hint="eastAsia" w:ascii="黑体" w:hAnsi="黑体" w:eastAsia="黑体"/>
          <w:sz w:val="28"/>
        </w:rPr>
        <w:t>签订日期：</w:t>
      </w:r>
      <w:r>
        <w:rPr>
          <w:rFonts w:hint="eastAsia" w:ascii="黑体" w:hAnsi="黑体" w:eastAsia="黑体"/>
          <w:sz w:val="28"/>
          <w:u w:val="single"/>
          <w:lang w:val="en-US" w:eastAsia="zh-CN"/>
        </w:rPr>
        <w:t xml:space="preserve">     </w:t>
      </w:r>
      <w:r>
        <w:rPr>
          <w:rFonts w:hint="eastAsia" w:ascii="黑体" w:hAnsi="黑体" w:eastAsia="黑体"/>
          <w:sz w:val="28"/>
        </w:rPr>
        <w:t>年</w:t>
      </w:r>
      <w:r>
        <w:rPr>
          <w:rFonts w:hint="eastAsia" w:ascii="黑体" w:hAnsi="黑体" w:eastAsia="黑体"/>
          <w:sz w:val="28"/>
          <w:u w:val="single"/>
          <w:lang w:val="en-US" w:eastAsia="zh-CN"/>
        </w:rPr>
        <w:t xml:space="preserve">     </w:t>
      </w:r>
      <w:r>
        <w:rPr>
          <w:rFonts w:hint="eastAsia" w:ascii="黑体" w:hAnsi="黑体" w:eastAsia="黑体"/>
          <w:sz w:val="28"/>
        </w:rPr>
        <w:t>月</w:t>
      </w:r>
      <w:r>
        <w:rPr>
          <w:rFonts w:hint="eastAsia" w:ascii="黑体" w:hAnsi="黑体" w:eastAsia="黑体"/>
          <w:i w:val="0"/>
          <w:iCs w:val="0"/>
          <w:sz w:val="28"/>
          <w:u w:val="single"/>
          <w:lang w:val="en-US" w:eastAsia="zh-CN"/>
        </w:rPr>
        <w:t xml:space="preserve">     </w:t>
      </w:r>
      <w:r>
        <w:rPr>
          <w:rFonts w:hint="eastAsia" w:ascii="黑体" w:hAnsi="黑体" w:eastAsia="黑体"/>
          <w:sz w:val="28"/>
        </w:rPr>
        <w:t>日</w:t>
      </w:r>
    </w:p>
    <w:p>
      <w:pPr>
        <w:spacing w:before="120" w:line="240" w:lineRule="atLeast"/>
        <w:rPr>
          <w:rFonts w:ascii="仿宋" w:hAnsi="仿宋" w:eastAsia="仿宋"/>
          <w:sz w:val="32"/>
          <w:szCs w:val="32"/>
        </w:rPr>
      </w:pPr>
    </w:p>
    <w:p>
      <w:pPr>
        <w:spacing w:line="360" w:lineRule="auto"/>
        <w:ind w:firstLine="640" w:firstLineChars="200"/>
        <w:rPr>
          <w:rFonts w:ascii="宋体" w:hAnsi="宋体"/>
          <w:sz w:val="24"/>
        </w:rPr>
      </w:pPr>
      <w:r>
        <w:rPr>
          <w:rFonts w:ascii="仿宋" w:hAnsi="仿宋" w:eastAsia="仿宋"/>
          <w:sz w:val="32"/>
          <w:szCs w:val="32"/>
        </w:rPr>
        <w:br w:type="page"/>
      </w:r>
      <w:r>
        <w:rPr>
          <w:rFonts w:hint="eastAsia" w:ascii="宋体" w:hAnsi="宋体"/>
          <w:sz w:val="24"/>
        </w:rPr>
        <w:t>年月日，</w:t>
      </w:r>
      <w:r>
        <w:rPr>
          <w:rFonts w:hint="eastAsia" w:ascii="宋体" w:hAnsi="宋体"/>
          <w:sz w:val="24"/>
          <w:u w:val="single"/>
        </w:rPr>
        <w:t xml:space="preserve">   （采购人名称）   </w:t>
      </w:r>
      <w:r>
        <w:rPr>
          <w:rFonts w:hint="eastAsia" w:ascii="宋体" w:hAnsi="宋体"/>
          <w:sz w:val="24"/>
        </w:rPr>
        <w:t>以</w:t>
      </w:r>
      <w:r>
        <w:rPr>
          <w:rFonts w:hint="eastAsia" w:ascii="宋体" w:hAnsi="宋体"/>
          <w:sz w:val="24"/>
          <w:u w:val="single"/>
        </w:rPr>
        <w:t xml:space="preserve">   （政府采购方式）  </w:t>
      </w:r>
      <w:r>
        <w:rPr>
          <w:rFonts w:hint="eastAsia" w:ascii="宋体" w:hAnsi="宋体"/>
          <w:sz w:val="24"/>
        </w:rPr>
        <w:t>对</w:t>
      </w:r>
      <w:r>
        <w:rPr>
          <w:rFonts w:hint="eastAsia" w:ascii="宋体" w:hAnsi="宋体"/>
          <w:sz w:val="24"/>
          <w:u w:val="single"/>
        </w:rPr>
        <w:t xml:space="preserve">   （同前页项目名称）   </w:t>
      </w:r>
      <w:r>
        <w:rPr>
          <w:rFonts w:hint="eastAsia" w:ascii="宋体" w:hAnsi="宋体"/>
          <w:sz w:val="24"/>
        </w:rPr>
        <w:t>项目进行了采购。经评定，</w:t>
      </w:r>
      <w:r>
        <w:rPr>
          <w:rFonts w:hint="eastAsia" w:ascii="宋体" w:hAnsi="宋体"/>
          <w:sz w:val="24"/>
          <w:u w:val="single"/>
        </w:rPr>
        <w:t xml:space="preserve">   （中标供应商名称） </w:t>
      </w:r>
      <w:r>
        <w:rPr>
          <w:rFonts w:hint="eastAsia" w:ascii="宋体" w:hAnsi="宋体"/>
          <w:sz w:val="24"/>
        </w:rPr>
        <w:t>为该项目中标供应商。现于中标通知书发出之日起三十日内，按照采购文件确定的事项签订本合同。</w:t>
      </w:r>
    </w:p>
    <w:p>
      <w:pPr>
        <w:spacing w:line="360" w:lineRule="auto"/>
        <w:ind w:firstLine="480" w:firstLineChars="200"/>
        <w:rPr>
          <w:rFonts w:ascii="宋体" w:hAnsi="宋体"/>
          <w:sz w:val="24"/>
        </w:rPr>
      </w:pPr>
      <w:r>
        <w:rPr>
          <w:rFonts w:hint="eastAsia" w:ascii="宋体" w:hAnsi="宋体"/>
          <w:sz w:val="24"/>
        </w:rPr>
        <w:t>根据《中华人民共和国民法典》、《中华人民共和国政府采购法》等相关法律法规之规定，按照平等、自愿、公平和诚实信用的原则，经</w:t>
      </w:r>
      <w:r>
        <w:rPr>
          <w:rFonts w:hint="eastAsia" w:ascii="宋体" w:hAnsi="宋体"/>
          <w:sz w:val="24"/>
          <w:u w:val="single"/>
        </w:rPr>
        <w:t xml:space="preserve">   （采购人名称）   </w:t>
      </w:r>
      <w:r>
        <w:rPr>
          <w:rFonts w:hint="eastAsia" w:ascii="宋体" w:hAnsi="宋体"/>
          <w:sz w:val="24"/>
        </w:rPr>
        <w:t>(以下简称：甲方)和</w:t>
      </w:r>
      <w:r>
        <w:rPr>
          <w:rFonts w:hint="eastAsia" w:ascii="宋体" w:hAnsi="宋体"/>
          <w:sz w:val="24"/>
          <w:u w:val="single"/>
        </w:rPr>
        <w:t xml:space="preserve">   （中标供应商名称）   </w:t>
      </w:r>
      <w:r>
        <w:rPr>
          <w:rFonts w:hint="eastAsia" w:ascii="宋体" w:hAnsi="宋体"/>
          <w:sz w:val="24"/>
        </w:rPr>
        <w:t>(以下简称：乙方)协商一致，约定以下合同条款，以兹共同遵守、全面履行。</w:t>
      </w:r>
    </w:p>
    <w:p>
      <w:pPr>
        <w:spacing w:line="360" w:lineRule="auto"/>
        <w:ind w:firstLine="482" w:firstLineChars="200"/>
        <w:rPr>
          <w:rFonts w:ascii="Calibri" w:hAnsi="Calibri"/>
          <w:b/>
          <w:sz w:val="24"/>
        </w:rPr>
      </w:pPr>
      <w:bookmarkStart w:id="58" w:name="_Toc60748165"/>
      <w:r>
        <w:rPr>
          <w:rFonts w:hint="eastAsia" w:ascii="Calibri" w:hAnsi="Calibri"/>
          <w:b/>
          <w:sz w:val="24"/>
        </w:rPr>
        <w:t>一、合同组成部分</w:t>
      </w:r>
      <w:bookmarkEnd w:id="5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hint="eastAsia" w:ascii="宋体" w:hAnsi="宋体"/>
          <w:sz w:val="24"/>
        </w:rPr>
        <w:t>1.本合同及其补充合同、变更协议；</w:t>
      </w:r>
    </w:p>
    <w:p>
      <w:pPr>
        <w:spacing w:line="360" w:lineRule="auto"/>
        <w:ind w:firstLine="480" w:firstLineChars="200"/>
        <w:rPr>
          <w:rFonts w:ascii="宋体" w:hAnsi="宋体"/>
          <w:sz w:val="24"/>
        </w:rPr>
      </w:pPr>
      <w:r>
        <w:rPr>
          <w:rFonts w:hint="eastAsia" w:ascii="宋体" w:hAnsi="宋体"/>
          <w:sz w:val="24"/>
        </w:rPr>
        <w:t>2.中标通知书；</w:t>
      </w:r>
    </w:p>
    <w:p>
      <w:pPr>
        <w:spacing w:line="360" w:lineRule="auto"/>
        <w:ind w:firstLine="480" w:firstLineChars="200"/>
        <w:rPr>
          <w:rFonts w:ascii="宋体" w:hAnsi="宋体"/>
          <w:sz w:val="24"/>
        </w:rPr>
      </w:pPr>
      <w:r>
        <w:rPr>
          <w:rFonts w:hint="eastAsia" w:ascii="宋体" w:hAnsi="宋体"/>
          <w:sz w:val="24"/>
        </w:rPr>
        <w:t>3.响应文件（含澄清或者说明文件）；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0" w:firstLineChars="200"/>
        <w:rPr>
          <w:rFonts w:ascii="宋体" w:hAnsi="宋体"/>
          <w:sz w:val="24"/>
        </w:rPr>
      </w:pPr>
      <w:r>
        <w:rPr>
          <w:rFonts w:hint="eastAsia" w:ascii="宋体" w:hAnsi="宋体"/>
          <w:sz w:val="24"/>
        </w:rPr>
        <w:t>双方有关项目的洽商、变更等书面协议或文件视为本合同的组成部分。</w:t>
      </w:r>
    </w:p>
    <w:p>
      <w:pPr>
        <w:spacing w:line="360" w:lineRule="auto"/>
        <w:ind w:firstLine="482" w:firstLineChars="200"/>
        <w:rPr>
          <w:rFonts w:ascii="Calibri" w:hAnsi="Calibri"/>
          <w:b/>
          <w:sz w:val="24"/>
        </w:rPr>
      </w:pPr>
      <w:bookmarkStart w:id="59" w:name="_Toc60748166"/>
      <w:r>
        <w:rPr>
          <w:rFonts w:hint="eastAsia" w:ascii="Calibri" w:hAnsi="Calibri"/>
          <w:b/>
          <w:sz w:val="24"/>
        </w:rPr>
        <w:t>二、合同标的</w:t>
      </w:r>
      <w:bookmarkEnd w:id="59"/>
      <w:r>
        <w:rPr>
          <w:rFonts w:hint="eastAsia" w:ascii="Calibri" w:hAnsi="Calibri"/>
          <w:b/>
          <w:sz w:val="24"/>
        </w:rPr>
        <w:t>内容</w:t>
      </w:r>
    </w:p>
    <w:p>
      <w:pPr>
        <w:tabs>
          <w:tab w:val="left" w:pos="9030"/>
        </w:tabs>
        <w:snapToGrid w:val="0"/>
        <w:spacing w:line="360" w:lineRule="auto"/>
        <w:ind w:firstLine="480" w:firstLineChars="200"/>
        <w:rPr>
          <w:rFonts w:ascii="宋体" w:hAnsi="宋体"/>
          <w:sz w:val="24"/>
          <w:u w:val="single"/>
        </w:rPr>
      </w:pPr>
      <w:bookmarkStart w:id="60" w:name="_Toc60748167"/>
      <w:r>
        <w:rPr>
          <w:rFonts w:hint="eastAsia" w:ascii="宋体" w:hAnsi="宋体"/>
          <w:sz w:val="24"/>
        </w:rPr>
        <w:t>1.项目名称：；</w:t>
      </w:r>
      <w:r>
        <w:rPr>
          <w:rFonts w:ascii="宋体" w:hAnsi="宋体"/>
          <w:sz w:val="24"/>
        </w:rPr>
        <w:tab/>
      </w:r>
    </w:p>
    <w:p>
      <w:pPr>
        <w:snapToGrid w:val="0"/>
        <w:spacing w:line="360" w:lineRule="auto"/>
        <w:ind w:firstLine="480" w:firstLineChars="200"/>
        <w:rPr>
          <w:rFonts w:ascii="宋体" w:hAnsi="宋体"/>
          <w:sz w:val="24"/>
        </w:rPr>
      </w:pPr>
      <w:r>
        <w:rPr>
          <w:rFonts w:hint="eastAsia" w:ascii="宋体" w:hAnsi="宋体"/>
          <w:sz w:val="24"/>
        </w:rPr>
        <w:t>2.坐落位置：；</w:t>
      </w:r>
    </w:p>
    <w:p>
      <w:pPr>
        <w:snapToGrid w:val="0"/>
        <w:spacing w:line="360" w:lineRule="auto"/>
        <w:ind w:firstLine="480" w:firstLineChars="200"/>
        <w:rPr>
          <w:rFonts w:ascii="宋体" w:hAnsi="宋体"/>
          <w:sz w:val="24"/>
        </w:rPr>
      </w:pPr>
      <w:r>
        <w:rPr>
          <w:rFonts w:hint="eastAsia" w:ascii="宋体" w:hAnsi="宋体"/>
          <w:sz w:val="24"/>
        </w:rPr>
        <w:t>3.服务范围：；</w:t>
      </w:r>
    </w:p>
    <w:p>
      <w:pPr>
        <w:snapToGrid w:val="0"/>
        <w:spacing w:line="360" w:lineRule="auto"/>
        <w:ind w:firstLine="480" w:firstLineChars="200"/>
        <w:rPr>
          <w:rFonts w:ascii="宋体" w:hAnsi="宋体"/>
          <w:sz w:val="24"/>
        </w:rPr>
      </w:pPr>
      <w:r>
        <w:rPr>
          <w:rFonts w:hint="eastAsia" w:ascii="宋体" w:hAnsi="宋体"/>
          <w:sz w:val="24"/>
        </w:rPr>
        <w:t>4.服务期限：。</w:t>
      </w:r>
    </w:p>
    <w:p>
      <w:pPr>
        <w:spacing w:line="360" w:lineRule="auto"/>
        <w:ind w:firstLine="482" w:firstLineChars="200"/>
        <w:rPr>
          <w:rFonts w:ascii="Calibri" w:hAnsi="Calibri"/>
          <w:b/>
          <w:sz w:val="24"/>
        </w:rPr>
      </w:pPr>
      <w:r>
        <w:rPr>
          <w:rFonts w:hint="eastAsia" w:ascii="Calibri" w:hAnsi="Calibri"/>
          <w:b/>
          <w:sz w:val="24"/>
        </w:rPr>
        <w:t>三、合同价款</w:t>
      </w:r>
      <w:bookmarkEnd w:id="60"/>
    </w:p>
    <w:p>
      <w:pPr>
        <w:spacing w:line="360" w:lineRule="auto"/>
        <w:ind w:firstLine="480" w:firstLineChars="200"/>
        <w:rPr>
          <w:rFonts w:ascii="宋体" w:hAnsi="宋体"/>
          <w:sz w:val="24"/>
        </w:rPr>
      </w:pPr>
      <w:r>
        <w:rPr>
          <w:rFonts w:hint="eastAsia" w:ascii="宋体" w:hAnsi="宋体"/>
          <w:sz w:val="24"/>
        </w:rPr>
        <w:t>本合同总价为：￥元（大写：元人民币）。</w:t>
      </w:r>
    </w:p>
    <w:p>
      <w:pPr>
        <w:spacing w:line="360" w:lineRule="auto"/>
        <w:ind w:firstLine="480" w:firstLineChars="200"/>
        <w:rPr>
          <w:rFonts w:ascii="宋体" w:hAnsi="宋体"/>
          <w:sz w:val="24"/>
          <w:u w:val="single"/>
        </w:rPr>
      </w:pPr>
      <w:r>
        <w:rPr>
          <w:rFonts w:hint="eastAsia" w:ascii="宋体" w:hAnsi="宋体"/>
          <w:sz w:val="24"/>
        </w:rPr>
        <w:t>分项价格：</w:t>
      </w:r>
    </w:p>
    <w:tbl>
      <w:tblPr>
        <w:tblStyle w:val="3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序号</w:t>
            </w: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r>
              <w:rPr>
                <w:rFonts w:hint="eastAsia" w:ascii="宋体" w:hAnsi="宋体"/>
                <w:color w:val="000000"/>
                <w:sz w:val="24"/>
              </w:rPr>
              <w:t>分项名称</w:t>
            </w:r>
          </w:p>
        </w:tc>
        <w:tc>
          <w:tcPr>
            <w:tcW w:w="255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340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olor w:val="000000"/>
                <w:sz w:val="24"/>
              </w:rPr>
            </w:pPr>
            <w:r>
              <w:rPr>
                <w:rFonts w:hint="eastAsia" w:ascii="宋体" w:hAnsi="宋体"/>
                <w:color w:val="000000"/>
                <w:sz w:val="24"/>
              </w:rPr>
              <w:t>总价</w:t>
            </w:r>
          </w:p>
        </w:tc>
        <w:tc>
          <w:tcPr>
            <w:tcW w:w="2552" w:type="dxa"/>
            <w:tcBorders>
              <w:top w:val="single" w:color="auto" w:sz="4" w:space="0"/>
              <w:left w:val="nil"/>
              <w:bottom w:val="single" w:color="auto" w:sz="4" w:space="0"/>
              <w:right w:val="single" w:color="auto" w:sz="4" w:space="0"/>
            </w:tcBorders>
            <w:vAlign w:val="center"/>
          </w:tcPr>
          <w:p>
            <w:pPr>
              <w:spacing w:line="360" w:lineRule="auto"/>
              <w:ind w:firstLine="200"/>
              <w:jc w:val="center"/>
              <w:rPr>
                <w:rFonts w:ascii="宋体" w:hAnsi="宋体"/>
                <w:color w:val="000000"/>
                <w:sz w:val="24"/>
              </w:rPr>
            </w:pPr>
          </w:p>
        </w:tc>
      </w:tr>
    </w:tbl>
    <w:p>
      <w:pPr>
        <w:spacing w:line="360" w:lineRule="auto"/>
        <w:ind w:firstLine="482" w:firstLineChars="200"/>
        <w:rPr>
          <w:rFonts w:ascii="宋体" w:hAnsi="宋体"/>
          <w:b/>
          <w:bCs/>
          <w:sz w:val="24"/>
        </w:rPr>
      </w:pPr>
      <w:bookmarkStart w:id="61" w:name="_Toc60748168"/>
      <w:r>
        <w:rPr>
          <w:rFonts w:hint="eastAsia" w:ascii="宋体" w:hAnsi="宋体"/>
          <w:b/>
          <w:bCs/>
          <w:sz w:val="24"/>
        </w:rPr>
        <w:t>四、 付款方式和发票开具方式</w:t>
      </w:r>
      <w:bookmarkEnd w:id="61"/>
    </w:p>
    <w:p>
      <w:pPr>
        <w:spacing w:line="360" w:lineRule="auto"/>
        <w:ind w:firstLine="480" w:firstLineChars="200"/>
        <w:rPr>
          <w:rFonts w:ascii="宋体" w:hAnsi="宋体"/>
          <w:sz w:val="24"/>
        </w:rPr>
      </w:pPr>
      <w:r>
        <w:rPr>
          <w:rFonts w:hint="eastAsia" w:ascii="宋体" w:hAnsi="宋体"/>
          <w:sz w:val="24"/>
        </w:rPr>
        <w:t>1.付款方式：；</w:t>
      </w:r>
    </w:p>
    <w:p>
      <w:pPr>
        <w:spacing w:line="360" w:lineRule="auto"/>
        <w:ind w:firstLine="480" w:firstLineChars="200"/>
        <w:rPr>
          <w:rFonts w:ascii="宋体" w:hAnsi="宋体"/>
          <w:sz w:val="24"/>
        </w:rPr>
      </w:pPr>
      <w:r>
        <w:rPr>
          <w:rFonts w:hint="eastAsia" w:ascii="宋体" w:hAnsi="宋体"/>
          <w:sz w:val="24"/>
        </w:rPr>
        <w:t>2.发票开具方式：。</w:t>
      </w:r>
    </w:p>
    <w:p>
      <w:pPr>
        <w:spacing w:line="360" w:lineRule="auto"/>
        <w:ind w:firstLine="482" w:firstLineChars="200"/>
        <w:rPr>
          <w:rFonts w:ascii="宋体" w:hAnsi="宋体"/>
          <w:b/>
          <w:bCs/>
          <w:sz w:val="24"/>
        </w:rPr>
      </w:pPr>
      <w:bookmarkStart w:id="62" w:name="_Toc60748169"/>
      <w:r>
        <w:rPr>
          <w:rFonts w:hint="eastAsia" w:ascii="宋体" w:hAnsi="宋体"/>
          <w:b/>
          <w:bCs/>
          <w:sz w:val="24"/>
        </w:rPr>
        <w:t>五、履行期限、地点和方式</w:t>
      </w:r>
      <w:bookmarkEnd w:id="62"/>
    </w:p>
    <w:p>
      <w:pPr>
        <w:spacing w:line="360" w:lineRule="auto"/>
        <w:ind w:firstLine="480" w:firstLineChars="200"/>
        <w:rPr>
          <w:rFonts w:ascii="宋体" w:hAnsi="宋体"/>
          <w:sz w:val="24"/>
          <w:u w:val="single"/>
        </w:rPr>
      </w:pPr>
      <w:r>
        <w:rPr>
          <w:rFonts w:hint="eastAsia" w:ascii="宋体" w:hAnsi="宋体"/>
          <w:sz w:val="24"/>
        </w:rPr>
        <w:t>1.履行期限：；</w:t>
      </w:r>
    </w:p>
    <w:p>
      <w:pPr>
        <w:spacing w:line="360" w:lineRule="auto"/>
        <w:ind w:firstLine="480" w:firstLineChars="200"/>
        <w:rPr>
          <w:rFonts w:ascii="宋体" w:hAnsi="宋体"/>
          <w:sz w:val="24"/>
        </w:rPr>
      </w:pPr>
      <w:r>
        <w:rPr>
          <w:rFonts w:hint="eastAsia" w:ascii="宋体" w:hAnsi="宋体"/>
          <w:sz w:val="24"/>
        </w:rPr>
        <w:t>2.履行地点：；</w:t>
      </w:r>
    </w:p>
    <w:p>
      <w:pPr>
        <w:spacing w:line="360" w:lineRule="auto"/>
        <w:ind w:firstLine="480" w:firstLineChars="200"/>
        <w:rPr>
          <w:rFonts w:ascii="宋体" w:hAnsi="宋体"/>
          <w:sz w:val="24"/>
        </w:rPr>
      </w:pPr>
      <w:r>
        <w:rPr>
          <w:rFonts w:hint="eastAsia" w:ascii="宋体" w:hAnsi="宋体"/>
          <w:sz w:val="24"/>
        </w:rPr>
        <w:t>3.履行方式：。</w:t>
      </w:r>
    </w:p>
    <w:p>
      <w:pPr>
        <w:spacing w:line="360" w:lineRule="auto"/>
        <w:ind w:firstLine="482" w:firstLineChars="200"/>
        <w:rPr>
          <w:rFonts w:ascii="宋体" w:hAnsi="宋体"/>
          <w:b/>
          <w:bCs/>
          <w:sz w:val="24"/>
        </w:rPr>
      </w:pPr>
      <w:r>
        <w:rPr>
          <w:rFonts w:hint="eastAsia" w:ascii="宋体" w:hAnsi="宋体"/>
          <w:b/>
          <w:bCs/>
          <w:sz w:val="24"/>
        </w:rPr>
        <w:t>六、</w:t>
      </w:r>
      <w:bookmarkStart w:id="63" w:name="_Toc60748170"/>
      <w:r>
        <w:rPr>
          <w:rFonts w:hint="eastAsia" w:ascii="宋体" w:hAnsi="宋体"/>
          <w:b/>
          <w:bCs/>
          <w:sz w:val="24"/>
        </w:rPr>
        <w:t>服务管理考核</w:t>
      </w:r>
    </w:p>
    <w:p>
      <w:pPr>
        <w:snapToGrid w:val="0"/>
        <w:spacing w:line="360" w:lineRule="auto"/>
        <w:ind w:firstLine="480" w:firstLineChars="200"/>
        <w:rPr>
          <w:rFonts w:ascii="宋体" w:hAnsi="宋体"/>
          <w:sz w:val="24"/>
        </w:rPr>
      </w:pPr>
      <w:r>
        <w:rPr>
          <w:rFonts w:hint="eastAsia" w:ascii="宋体" w:hAnsi="宋体"/>
          <w:sz w:val="24"/>
        </w:rPr>
        <w:t>1.岗位出勤情况考核</w:t>
      </w:r>
    </w:p>
    <w:p>
      <w:pPr>
        <w:snapToGrid w:val="0"/>
        <w:spacing w:line="360" w:lineRule="auto"/>
        <w:ind w:firstLine="480" w:firstLineChars="200"/>
        <w:rPr>
          <w:rFonts w:ascii="宋体" w:hAnsi="宋体"/>
          <w:sz w:val="24"/>
          <w:u w:val="single"/>
        </w:rPr>
      </w:pPr>
    </w:p>
    <w:p>
      <w:pPr>
        <w:snapToGrid w:val="0"/>
        <w:spacing w:line="360" w:lineRule="auto"/>
        <w:ind w:firstLine="480" w:firstLineChars="200"/>
        <w:rPr>
          <w:rFonts w:ascii="宋体" w:hAnsi="宋体"/>
          <w:sz w:val="24"/>
        </w:rPr>
      </w:pPr>
      <w:r>
        <w:rPr>
          <w:rFonts w:hint="eastAsia" w:ascii="宋体" w:hAnsi="宋体"/>
          <w:sz w:val="24"/>
        </w:rPr>
        <w:t>2.服务质量考核</w:t>
      </w:r>
    </w:p>
    <w:p>
      <w:pPr>
        <w:snapToGrid w:val="0"/>
        <w:spacing w:line="360" w:lineRule="auto"/>
        <w:ind w:firstLine="480" w:firstLineChars="200"/>
        <w:rPr>
          <w:rFonts w:ascii="宋体" w:hAnsi="宋体"/>
          <w:sz w:val="24"/>
          <w:u w:val="single"/>
        </w:rPr>
      </w:pPr>
    </w:p>
    <w:p>
      <w:pPr>
        <w:snapToGrid w:val="0"/>
        <w:spacing w:line="360" w:lineRule="auto"/>
        <w:ind w:firstLine="480" w:firstLineChars="200"/>
        <w:rPr>
          <w:rFonts w:ascii="宋体" w:hAnsi="宋体"/>
          <w:sz w:val="24"/>
        </w:rPr>
      </w:pPr>
      <w:r>
        <w:rPr>
          <w:rFonts w:hint="eastAsia" w:ascii="宋体" w:hAnsi="宋体"/>
          <w:sz w:val="24"/>
        </w:rPr>
        <w:t>3.服务满意度考核</w:t>
      </w:r>
    </w:p>
    <w:p>
      <w:pPr>
        <w:snapToGrid w:val="0"/>
        <w:spacing w:line="360" w:lineRule="auto"/>
        <w:ind w:firstLine="480" w:firstLineChars="200"/>
        <w:rPr>
          <w:rFonts w:ascii="宋体" w:hAnsi="宋体"/>
          <w:sz w:val="24"/>
          <w:u w:val="single"/>
        </w:rPr>
      </w:pPr>
    </w:p>
    <w:p>
      <w:pPr>
        <w:spacing w:line="360" w:lineRule="auto"/>
        <w:ind w:firstLine="482" w:firstLineChars="200"/>
        <w:rPr>
          <w:rFonts w:ascii="宋体" w:hAnsi="宋体"/>
          <w:b/>
          <w:bCs/>
          <w:sz w:val="24"/>
        </w:rPr>
      </w:pPr>
      <w:r>
        <w:rPr>
          <w:rFonts w:hint="eastAsia" w:ascii="宋体" w:hAnsi="宋体"/>
          <w:b/>
          <w:bCs/>
          <w:sz w:val="24"/>
        </w:rPr>
        <w:t>七、保密要求</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由甲方收集的、整理的、复制的、研究的和准备的与本合同项下工作有关的所有资料在提供给乙方时，均被视为保密的，不得泄漏给除甲方或其指定的代表之外的任何人，不管本合同因何种原因终止，本条款一直约束乙方。</w:t>
      </w:r>
    </w:p>
    <w:p>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乙方在履行合同过程中所获得或接触到的任何</w:t>
      </w:r>
      <w:r>
        <w:rPr>
          <w:rFonts w:hint="eastAsia" w:ascii="宋体" w:hAnsi="宋体"/>
          <w:sz w:val="24"/>
        </w:rPr>
        <w:t>内部数据资料，未经甲方同意，不得向第三方透露。</w:t>
      </w:r>
    </w:p>
    <w:p>
      <w:pPr>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乙方</w:t>
      </w:r>
      <w:r>
        <w:rPr>
          <w:rFonts w:hint="eastAsia" w:ascii="宋体" w:hAnsi="宋体"/>
          <w:sz w:val="24"/>
        </w:rPr>
        <w:t>实施项目的一切程序都应符合国家安全、保密的有关规定和标准。</w:t>
      </w:r>
    </w:p>
    <w:p>
      <w:pPr>
        <w:spacing w:line="360" w:lineRule="auto"/>
        <w:ind w:firstLine="482" w:firstLineChars="200"/>
        <w:rPr>
          <w:rFonts w:ascii="宋体" w:hAnsi="宋体"/>
          <w:b/>
          <w:bCs/>
          <w:sz w:val="24"/>
        </w:rPr>
      </w:pPr>
      <w:r>
        <w:rPr>
          <w:rFonts w:hint="eastAsia" w:ascii="宋体" w:hAnsi="宋体"/>
          <w:b/>
          <w:bCs/>
          <w:sz w:val="24"/>
        </w:rPr>
        <w:t>八、甲方权利与义务</w:t>
      </w:r>
    </w:p>
    <w:p>
      <w:pPr>
        <w:snapToGrid w:val="0"/>
        <w:spacing w:line="360" w:lineRule="auto"/>
        <w:ind w:firstLine="480" w:firstLineChars="200"/>
        <w:rPr>
          <w:rFonts w:ascii="宋体" w:hAnsi="宋体" w:cs="仿宋"/>
          <w:sz w:val="24"/>
        </w:rPr>
      </w:pPr>
      <w:r>
        <w:rPr>
          <w:rFonts w:hint="eastAsia" w:ascii="宋体" w:hAnsi="宋体" w:cs="仿宋"/>
          <w:sz w:val="24"/>
        </w:rPr>
        <w:t xml:space="preserve">（一）甲方权利： </w:t>
      </w:r>
    </w:p>
    <w:p>
      <w:pPr>
        <w:snapToGrid w:val="0"/>
        <w:spacing w:line="360" w:lineRule="auto"/>
        <w:ind w:firstLine="480" w:firstLineChars="200"/>
        <w:rPr>
          <w:rFonts w:ascii="宋体" w:hAnsi="宋体" w:cs="仿宋"/>
          <w:sz w:val="24"/>
        </w:rPr>
      </w:pPr>
      <w:r>
        <w:rPr>
          <w:rFonts w:hint="eastAsia" w:ascii="宋体" w:hAnsi="宋体" w:cs="仿宋"/>
          <w:sz w:val="24"/>
        </w:rPr>
        <w:t>1.有权向乙方询问工作进展情况及相关的内容。</w:t>
      </w:r>
    </w:p>
    <w:p>
      <w:pPr>
        <w:snapToGrid w:val="0"/>
        <w:spacing w:line="360" w:lineRule="auto"/>
        <w:ind w:firstLine="480" w:firstLineChars="200"/>
        <w:rPr>
          <w:rFonts w:ascii="宋体" w:hAnsi="宋体" w:cs="仿宋"/>
          <w:sz w:val="24"/>
        </w:rPr>
      </w:pPr>
      <w:r>
        <w:rPr>
          <w:rFonts w:hint="eastAsia" w:ascii="宋体" w:hAnsi="宋体" w:cs="仿宋"/>
          <w:sz w:val="24"/>
        </w:rPr>
        <w:t>2.有权阐述对具体问题的意见和建议。</w:t>
      </w:r>
    </w:p>
    <w:p>
      <w:pPr>
        <w:snapToGrid w:val="0"/>
        <w:spacing w:line="360" w:lineRule="auto"/>
        <w:ind w:firstLine="480" w:firstLineChars="200"/>
        <w:rPr>
          <w:rFonts w:ascii="宋体" w:hAnsi="宋体" w:cs="仿宋"/>
          <w:sz w:val="24"/>
        </w:rPr>
      </w:pPr>
      <w:r>
        <w:rPr>
          <w:rFonts w:hint="eastAsia" w:ascii="宋体" w:hAnsi="宋体" w:cs="仿宋"/>
          <w:sz w:val="24"/>
        </w:rPr>
        <w:t>3.当甲方认定乙方人员不按合同履行其职责，或与第三人串通给甲方造成经济损失的，甲方有权要求更换人员，直至终止合同并要求乙方承担相应的赔偿责任。</w:t>
      </w:r>
    </w:p>
    <w:p>
      <w:pPr>
        <w:snapToGrid w:val="0"/>
        <w:spacing w:line="360" w:lineRule="auto"/>
        <w:ind w:firstLine="480" w:firstLineChars="200"/>
        <w:rPr>
          <w:rFonts w:ascii="宋体" w:hAnsi="宋体" w:cs="仿宋"/>
          <w:sz w:val="24"/>
        </w:rPr>
      </w:pPr>
      <w:r>
        <w:rPr>
          <w:rFonts w:hint="eastAsia" w:ascii="宋体" w:hAnsi="宋体" w:cs="仿宋"/>
          <w:sz w:val="24"/>
        </w:rPr>
        <w:t>4.</w:t>
      </w:r>
    </w:p>
    <w:p>
      <w:pPr>
        <w:snapToGrid w:val="0"/>
        <w:spacing w:line="360" w:lineRule="auto"/>
        <w:ind w:firstLine="480" w:firstLineChars="200"/>
        <w:rPr>
          <w:rFonts w:ascii="宋体" w:hAnsi="宋体" w:cs="仿宋"/>
          <w:sz w:val="24"/>
        </w:rPr>
      </w:pPr>
      <w:r>
        <w:rPr>
          <w:rFonts w:hint="eastAsia" w:ascii="宋体" w:hAnsi="宋体" w:cs="仿宋"/>
          <w:sz w:val="24"/>
        </w:rPr>
        <w:t xml:space="preserve">（二）甲方义务： </w:t>
      </w:r>
    </w:p>
    <w:p>
      <w:pPr>
        <w:snapToGrid w:val="0"/>
        <w:spacing w:line="360" w:lineRule="auto"/>
        <w:ind w:firstLine="480" w:firstLineChars="200"/>
        <w:rPr>
          <w:rFonts w:ascii="宋体" w:hAnsi="宋体" w:cs="仿宋"/>
          <w:sz w:val="24"/>
        </w:rPr>
      </w:pPr>
      <w:r>
        <w:rPr>
          <w:rFonts w:hint="eastAsia" w:ascii="宋体" w:hAnsi="宋体" w:cs="仿宋"/>
          <w:sz w:val="24"/>
        </w:rPr>
        <w:t>1.负责与本项目有关的第三方的协调，提供开展服务工作的外部条件。</w:t>
      </w:r>
    </w:p>
    <w:p>
      <w:pPr>
        <w:snapToGrid w:val="0"/>
        <w:spacing w:line="360" w:lineRule="auto"/>
        <w:ind w:firstLine="480" w:firstLineChars="200"/>
        <w:rPr>
          <w:rFonts w:ascii="宋体" w:hAnsi="宋体" w:cs="仿宋"/>
          <w:sz w:val="24"/>
        </w:rPr>
      </w:pPr>
      <w:r>
        <w:rPr>
          <w:rFonts w:hint="eastAsia" w:ascii="宋体" w:hAnsi="宋体" w:cs="仿宋"/>
          <w:sz w:val="24"/>
        </w:rPr>
        <w:t>2.向乙方提供与本项目有关的资料。</w:t>
      </w:r>
    </w:p>
    <w:p>
      <w:pPr>
        <w:snapToGrid w:val="0"/>
        <w:spacing w:line="360" w:lineRule="auto"/>
        <w:ind w:firstLine="480" w:firstLineChars="200"/>
        <w:rPr>
          <w:rFonts w:ascii="宋体" w:hAnsi="宋体" w:cs="仿宋"/>
          <w:sz w:val="24"/>
        </w:rPr>
      </w:pPr>
      <w:r>
        <w:rPr>
          <w:rFonts w:hint="eastAsia" w:ascii="宋体" w:hAnsi="宋体" w:cs="仿宋"/>
          <w:sz w:val="24"/>
        </w:rPr>
        <w:t>3.</w:t>
      </w:r>
    </w:p>
    <w:p>
      <w:pPr>
        <w:spacing w:line="360" w:lineRule="auto"/>
        <w:ind w:firstLine="482" w:firstLineChars="200"/>
        <w:rPr>
          <w:rFonts w:ascii="宋体" w:hAnsi="宋体"/>
          <w:b/>
          <w:bCs/>
          <w:sz w:val="24"/>
        </w:rPr>
      </w:pPr>
      <w:r>
        <w:rPr>
          <w:rFonts w:hint="eastAsia" w:ascii="宋体" w:hAnsi="宋体"/>
          <w:b/>
          <w:bCs/>
          <w:sz w:val="24"/>
        </w:rPr>
        <w:t>九、乙方权利与义务</w:t>
      </w:r>
    </w:p>
    <w:p>
      <w:pPr>
        <w:snapToGrid w:val="0"/>
        <w:spacing w:line="360" w:lineRule="auto"/>
        <w:ind w:firstLine="480" w:firstLineChars="200"/>
        <w:rPr>
          <w:rFonts w:ascii="宋体" w:hAnsi="宋体" w:cs="仿宋"/>
          <w:sz w:val="24"/>
        </w:rPr>
      </w:pPr>
      <w:r>
        <w:rPr>
          <w:rFonts w:hint="eastAsia" w:ascii="宋体" w:hAnsi="宋体" w:cs="仿宋"/>
          <w:sz w:val="24"/>
        </w:rPr>
        <w:t>一、乙方权利：</w:t>
      </w:r>
    </w:p>
    <w:p>
      <w:pPr>
        <w:snapToGrid w:val="0"/>
        <w:spacing w:line="360" w:lineRule="auto"/>
        <w:ind w:firstLine="480" w:firstLineChars="200"/>
        <w:rPr>
          <w:rFonts w:ascii="宋体" w:hAnsi="宋体" w:cs="仿宋"/>
          <w:sz w:val="24"/>
        </w:rPr>
      </w:pPr>
      <w:r>
        <w:rPr>
          <w:rFonts w:hint="eastAsia" w:ascii="宋体" w:hAnsi="宋体" w:cs="仿宋"/>
          <w:sz w:val="24"/>
        </w:rPr>
        <w:t>1.乙方在本项目服务过程中，如甲方提供的资料不明确时可向甲方提出书面报告。</w:t>
      </w:r>
    </w:p>
    <w:p>
      <w:pPr>
        <w:snapToGrid w:val="0"/>
        <w:spacing w:line="360" w:lineRule="auto"/>
        <w:ind w:firstLine="480" w:firstLineChars="200"/>
        <w:rPr>
          <w:rFonts w:ascii="宋体" w:hAnsi="宋体" w:cs="仿宋"/>
          <w:sz w:val="24"/>
        </w:rPr>
      </w:pPr>
      <w:r>
        <w:rPr>
          <w:rFonts w:hint="eastAsia" w:ascii="宋体" w:hAnsi="宋体" w:cs="仿宋"/>
          <w:sz w:val="24"/>
        </w:rPr>
        <w:t>2.</w:t>
      </w:r>
    </w:p>
    <w:p>
      <w:pPr>
        <w:snapToGrid w:val="0"/>
        <w:spacing w:line="360" w:lineRule="auto"/>
        <w:ind w:firstLine="480" w:firstLineChars="200"/>
        <w:rPr>
          <w:rFonts w:ascii="宋体" w:hAnsi="宋体" w:cs="仿宋"/>
          <w:sz w:val="24"/>
        </w:rPr>
      </w:pPr>
      <w:r>
        <w:rPr>
          <w:rFonts w:hint="eastAsia" w:ascii="宋体" w:hAnsi="宋体" w:cs="仿宋"/>
          <w:sz w:val="24"/>
        </w:rPr>
        <w:t>二、乙方义务：</w:t>
      </w:r>
    </w:p>
    <w:p>
      <w:pPr>
        <w:snapToGrid w:val="0"/>
        <w:spacing w:line="360" w:lineRule="auto"/>
        <w:ind w:firstLine="480" w:firstLineChars="200"/>
        <w:rPr>
          <w:rFonts w:ascii="宋体" w:hAnsi="宋体" w:cs="仿宋"/>
          <w:sz w:val="24"/>
        </w:rPr>
      </w:pPr>
      <w:r>
        <w:rPr>
          <w:rFonts w:hint="eastAsia" w:ascii="宋体" w:hAnsi="宋体" w:cs="仿宋"/>
          <w:sz w:val="24"/>
        </w:rPr>
        <w:t>1.应按照</w:t>
      </w:r>
      <w:r>
        <w:rPr>
          <w:rFonts w:hint="eastAsia" w:ascii="宋体" w:hAnsi="宋体" w:cs="仿宋"/>
          <w:sz w:val="24"/>
        </w:rPr>
        <w:softHyphen/>
      </w:r>
      <w:r>
        <w:rPr>
          <w:rFonts w:hint="eastAsia" w:ascii="宋体" w:hAnsi="宋体" w:cs="仿宋"/>
          <w:sz w:val="24"/>
        </w:rPr>
        <w:t>本项目采购文件、乙方投标文件要求按期完成本项目工作。</w:t>
      </w:r>
    </w:p>
    <w:p>
      <w:pPr>
        <w:snapToGrid w:val="0"/>
        <w:spacing w:line="360" w:lineRule="auto"/>
        <w:ind w:firstLine="480" w:firstLineChars="200"/>
        <w:rPr>
          <w:rFonts w:ascii="宋体" w:hAnsi="宋体" w:cs="仿宋"/>
          <w:sz w:val="24"/>
        </w:rPr>
      </w:pPr>
      <w:r>
        <w:rPr>
          <w:rFonts w:hint="eastAsia" w:ascii="宋体" w:hAnsi="宋体" w:cs="仿宋"/>
          <w:sz w:val="24"/>
        </w:rPr>
        <w:t>2.负责组织项目的实施，保证工作质量满足相关验收相关标准。</w:t>
      </w:r>
    </w:p>
    <w:p>
      <w:pPr>
        <w:snapToGrid w:val="0"/>
        <w:spacing w:line="360" w:lineRule="auto"/>
        <w:ind w:firstLine="480" w:firstLineChars="200"/>
        <w:rPr>
          <w:rFonts w:ascii="宋体" w:hAnsi="宋体" w:cs="仿宋"/>
          <w:sz w:val="24"/>
        </w:rPr>
      </w:pPr>
      <w:r>
        <w:rPr>
          <w:rFonts w:hint="eastAsia" w:ascii="宋体" w:hAnsi="宋体" w:cs="仿宋"/>
          <w:sz w:val="24"/>
        </w:rPr>
        <w:t>3.乙方不得擅自部分或全部转让其应履行的合同义务。</w:t>
      </w:r>
    </w:p>
    <w:p>
      <w:pPr>
        <w:snapToGrid w:val="0"/>
        <w:spacing w:line="360" w:lineRule="auto"/>
        <w:ind w:firstLine="480" w:firstLineChars="200"/>
        <w:rPr>
          <w:rFonts w:ascii="宋体" w:hAnsi="宋体" w:cs="仿宋"/>
          <w:sz w:val="24"/>
        </w:rPr>
      </w:pPr>
      <w:r>
        <w:rPr>
          <w:rFonts w:hint="eastAsia" w:ascii="宋体" w:hAnsi="宋体" w:cs="仿宋"/>
          <w:sz w:val="24"/>
        </w:rPr>
        <w:t>4.</w:t>
      </w:r>
    </w:p>
    <w:p>
      <w:pPr>
        <w:spacing w:line="360" w:lineRule="auto"/>
        <w:ind w:firstLine="482" w:firstLineChars="200"/>
        <w:rPr>
          <w:rFonts w:ascii="宋体" w:hAnsi="宋体"/>
          <w:b/>
          <w:bCs/>
          <w:sz w:val="24"/>
        </w:rPr>
      </w:pPr>
      <w:r>
        <w:rPr>
          <w:rFonts w:hint="eastAsia" w:ascii="宋体" w:hAnsi="宋体"/>
          <w:b/>
          <w:bCs/>
          <w:sz w:val="24"/>
        </w:rPr>
        <w:t>十、 违约责任</w:t>
      </w:r>
      <w:bookmarkEnd w:id="63"/>
    </w:p>
    <w:p>
      <w:pPr>
        <w:spacing w:line="360" w:lineRule="auto"/>
        <w:ind w:firstLine="480" w:firstLineChars="200"/>
        <w:rPr>
          <w:rFonts w:ascii="宋体" w:hAnsi="宋体"/>
          <w:sz w:val="24"/>
        </w:rPr>
      </w:pPr>
      <w:r>
        <w:rPr>
          <w:rFonts w:hint="eastAsia" w:ascii="宋体" w:hAnsi="宋体"/>
          <w:sz w:val="24"/>
        </w:rPr>
        <w:t>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hint="eastAsia" w:ascii="宋体" w:hAnsi="宋体"/>
          <w:sz w:val="24"/>
        </w:rPr>
        <w:t>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sz w:val="24"/>
        </w:rPr>
      </w:pPr>
      <w:r>
        <w:rPr>
          <w:rFonts w:hint="eastAsia" w:ascii="宋体" w:hAnsi="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宋体" w:hAnsi="宋体"/>
          <w:sz w:val="24"/>
        </w:rPr>
      </w:pPr>
      <w:r>
        <w:rPr>
          <w:rFonts w:hint="eastAsia" w:ascii="宋体" w:hAnsi="宋体"/>
          <w:sz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sz w:val="24"/>
        </w:rPr>
      </w:pPr>
      <w:r>
        <w:rPr>
          <w:rFonts w:hint="eastAsia" w:ascii="宋体" w:hAnsi="宋体"/>
          <w:sz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sz w:val="24"/>
        </w:rPr>
      </w:pPr>
      <w:r>
        <w:rPr>
          <w:rFonts w:hint="eastAsia" w:ascii="宋体" w:hAnsi="宋体"/>
          <w:sz w:val="24"/>
        </w:rPr>
        <w:t>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ascii="宋体" w:hAnsi="宋体"/>
          <w:b/>
          <w:bCs/>
          <w:sz w:val="24"/>
        </w:rPr>
      </w:pPr>
      <w:bookmarkStart w:id="64" w:name="_Toc60748171"/>
      <w:r>
        <w:rPr>
          <w:rFonts w:hint="eastAsia" w:ascii="宋体" w:hAnsi="宋体"/>
          <w:b/>
          <w:bCs/>
          <w:sz w:val="24"/>
        </w:rPr>
        <w:t>十一、 合同争议的解决</w:t>
      </w:r>
      <w:bookmarkEnd w:id="64"/>
    </w:p>
    <w:p>
      <w:pPr>
        <w:spacing w:line="360" w:lineRule="auto"/>
        <w:ind w:firstLine="480" w:firstLineChars="200"/>
        <w:rPr>
          <w:rFonts w:ascii="宋体" w:hAnsi="宋体"/>
          <w:sz w:val="24"/>
        </w:rPr>
      </w:pPr>
      <w:r>
        <w:rPr>
          <w:rFonts w:hint="eastAsia" w:ascii="宋体" w:hAnsi="宋体"/>
          <w:sz w:val="24"/>
        </w:rPr>
        <w:t>本合同履行过程中发生的任何争议，双方当事人均可通过和解或者调解解决；不愿和解、调解或者和解、调解不成的，可以选择下列第种方式解决：</w:t>
      </w:r>
    </w:p>
    <w:p>
      <w:pPr>
        <w:spacing w:line="360" w:lineRule="auto"/>
        <w:ind w:firstLine="480" w:firstLineChars="200"/>
        <w:rPr>
          <w:rFonts w:ascii="宋体" w:hAnsi="宋体"/>
          <w:sz w:val="24"/>
        </w:rPr>
      </w:pPr>
      <w:r>
        <w:rPr>
          <w:rFonts w:hint="eastAsia" w:ascii="宋体" w:hAnsi="宋体"/>
          <w:sz w:val="24"/>
        </w:rPr>
        <w:t>1.将争议提交仲裁委员会依申请仲裁时其现行有效的仲裁规则裁决；</w:t>
      </w:r>
    </w:p>
    <w:p>
      <w:pPr>
        <w:spacing w:line="360" w:lineRule="auto"/>
        <w:ind w:firstLine="480" w:firstLineChars="200"/>
        <w:rPr>
          <w:rFonts w:ascii="宋体" w:hAnsi="宋体"/>
          <w:sz w:val="24"/>
        </w:rPr>
      </w:pPr>
      <w:r>
        <w:rPr>
          <w:rFonts w:hint="eastAsia" w:ascii="宋体" w:hAnsi="宋体"/>
          <w:sz w:val="24"/>
        </w:rPr>
        <w:t>2.向</w:t>
      </w:r>
      <w:r>
        <w:rPr>
          <w:rFonts w:hint="eastAsia" w:ascii="宋体" w:hAnsi="宋体"/>
          <w:sz w:val="24"/>
          <w:u w:val="single"/>
        </w:rPr>
        <w:t xml:space="preserve">   （被告住所地、合同履行地、合同签订地、原告住所地、标的物所在地等与争议有实际联系的地点中选出的人民法院名称）    </w:t>
      </w:r>
      <w:r>
        <w:rPr>
          <w:rFonts w:hint="eastAsia" w:ascii="宋体" w:hAnsi="宋体"/>
          <w:sz w:val="24"/>
        </w:rPr>
        <w:t>人民法院起诉。</w:t>
      </w:r>
    </w:p>
    <w:p>
      <w:pPr>
        <w:spacing w:line="360" w:lineRule="auto"/>
        <w:ind w:firstLine="482" w:firstLineChars="200"/>
        <w:rPr>
          <w:rFonts w:ascii="宋体" w:hAnsi="宋体"/>
          <w:b/>
          <w:bCs/>
          <w:sz w:val="24"/>
        </w:rPr>
      </w:pPr>
      <w:bookmarkStart w:id="65" w:name="_Toc60748172"/>
      <w:r>
        <w:rPr>
          <w:rFonts w:hint="eastAsia" w:ascii="宋体" w:hAnsi="宋体"/>
          <w:b/>
          <w:bCs/>
          <w:sz w:val="24"/>
        </w:rPr>
        <w:t>十二、合同生效</w:t>
      </w:r>
      <w:bookmarkEnd w:id="65"/>
    </w:p>
    <w:p>
      <w:pPr>
        <w:spacing w:line="360" w:lineRule="auto"/>
        <w:ind w:firstLine="480" w:firstLineChars="200"/>
        <w:rPr>
          <w:rFonts w:ascii="宋体" w:hAnsi="宋体"/>
          <w:b/>
          <w:bCs/>
          <w:sz w:val="24"/>
        </w:rPr>
      </w:pPr>
      <w:r>
        <w:rPr>
          <w:rFonts w:hint="eastAsia" w:ascii="宋体" w:hAnsi="宋体"/>
          <w:sz w:val="24"/>
        </w:rPr>
        <w:t>本合同自双方当事人盖章或者签字时生效。</w:t>
      </w: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sz w:val="24"/>
        </w:rPr>
        <w:t>甲方（采购人）（盖章）：                          乙方（中标供应商）（盖章）：</w:t>
      </w:r>
    </w:p>
    <w:p>
      <w:pPr>
        <w:widowControl/>
        <w:spacing w:line="360" w:lineRule="auto"/>
        <w:jc w:val="left"/>
        <w:rPr>
          <w:rFonts w:ascii="宋体" w:hAnsi="宋体"/>
          <w:sz w:val="24"/>
        </w:rPr>
      </w:pPr>
      <w:r>
        <w:rPr>
          <w:rFonts w:hint="eastAsia" w:ascii="宋体" w:hAnsi="宋体"/>
          <w:sz w:val="24"/>
        </w:rPr>
        <w:t>法定代表人：                                    法定代表人：</w:t>
      </w:r>
    </w:p>
    <w:p>
      <w:pPr>
        <w:widowControl/>
        <w:spacing w:line="360" w:lineRule="auto"/>
        <w:jc w:val="left"/>
        <w:rPr>
          <w:rFonts w:ascii="宋体" w:hAnsi="宋体"/>
          <w:sz w:val="24"/>
        </w:rPr>
      </w:pPr>
      <w:r>
        <w:rPr>
          <w:rFonts w:hint="eastAsia" w:ascii="宋体" w:hAnsi="宋体"/>
          <w:sz w:val="24"/>
        </w:rPr>
        <w:t>代理人：                                        代理人：</w:t>
      </w:r>
    </w:p>
    <w:p>
      <w:pPr>
        <w:widowControl/>
        <w:spacing w:line="360" w:lineRule="auto"/>
        <w:jc w:val="left"/>
        <w:rPr>
          <w:rFonts w:ascii="宋体" w:hAnsi="宋体"/>
          <w:sz w:val="24"/>
        </w:rPr>
      </w:pPr>
      <w:r>
        <w:rPr>
          <w:rFonts w:hint="eastAsia" w:ascii="宋体" w:hAnsi="宋体"/>
          <w:sz w:val="24"/>
        </w:rPr>
        <w:t>电  话：                                        电  话：</w:t>
      </w:r>
    </w:p>
    <w:p>
      <w:pPr>
        <w:widowControl/>
        <w:spacing w:line="360" w:lineRule="auto"/>
        <w:jc w:val="left"/>
        <w:rPr>
          <w:rFonts w:ascii="宋体" w:hAnsi="宋体"/>
          <w:sz w:val="24"/>
        </w:rPr>
      </w:pPr>
      <w:r>
        <w:rPr>
          <w:rFonts w:hint="eastAsia" w:ascii="宋体" w:hAnsi="宋体"/>
          <w:sz w:val="24"/>
        </w:rPr>
        <w:t>开户银行：                                      开户银行：</w:t>
      </w:r>
    </w:p>
    <w:p>
      <w:pPr>
        <w:widowControl/>
        <w:spacing w:line="360" w:lineRule="auto"/>
        <w:jc w:val="left"/>
        <w:rPr>
          <w:rFonts w:ascii="宋体" w:hAnsi="宋体"/>
          <w:sz w:val="24"/>
        </w:rPr>
      </w:pPr>
      <w:r>
        <w:rPr>
          <w:rFonts w:hint="eastAsia" w:ascii="宋体" w:hAnsi="宋体"/>
          <w:sz w:val="24"/>
        </w:rPr>
        <w:t>账  号：                                        账  号：</w:t>
      </w:r>
    </w:p>
    <w:p>
      <w:pPr>
        <w:widowControl/>
        <w:spacing w:line="360" w:lineRule="auto"/>
        <w:jc w:val="left"/>
        <w:rPr>
          <w:rFonts w:ascii="宋体" w:hAnsi="宋体"/>
          <w:sz w:val="24"/>
        </w:rPr>
      </w:pPr>
      <w:r>
        <w:rPr>
          <w:rFonts w:hint="eastAsia" w:ascii="宋体" w:hAnsi="宋体"/>
          <w:sz w:val="24"/>
        </w:rPr>
        <w:t>单位地址：                                      单位地址：</w:t>
      </w:r>
    </w:p>
    <w:p>
      <w:pPr>
        <w:widowControl/>
        <w:spacing w:line="360" w:lineRule="auto"/>
        <w:jc w:val="left"/>
        <w:rPr>
          <w:rFonts w:ascii="宋体" w:hAnsi="宋体"/>
          <w:sz w:val="24"/>
        </w:rPr>
      </w:pPr>
      <w:r>
        <w:rPr>
          <w:rFonts w:hint="eastAsia" w:ascii="宋体" w:hAnsi="宋体"/>
          <w:sz w:val="24"/>
        </w:rPr>
        <w:t>日  期：                                        日  期：</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合同备案</w:t>
      </w:r>
    </w:p>
    <w:p>
      <w:pPr>
        <w:widowControl/>
        <w:spacing w:line="360" w:lineRule="auto"/>
        <w:jc w:val="left"/>
        <w:rPr>
          <w:rFonts w:ascii="宋体" w:hAnsi="宋体"/>
          <w:sz w:val="24"/>
        </w:rPr>
      </w:pPr>
      <w:r>
        <w:rPr>
          <w:rFonts w:hint="eastAsia" w:ascii="宋体" w:hAnsi="宋体"/>
          <w:sz w:val="24"/>
        </w:rPr>
        <w:t>代理机构（盖章）：</w:t>
      </w:r>
    </w:p>
    <w:p>
      <w:pPr>
        <w:widowControl/>
        <w:spacing w:line="360" w:lineRule="auto"/>
        <w:jc w:val="left"/>
        <w:rPr>
          <w:rFonts w:ascii="宋体" w:hAnsi="宋体"/>
          <w:sz w:val="24"/>
        </w:rPr>
      </w:pPr>
      <w:r>
        <w:rPr>
          <w:rFonts w:hint="eastAsia" w:ascii="宋体" w:hAnsi="宋体"/>
          <w:sz w:val="24"/>
        </w:rPr>
        <w:t>日期：</w:t>
      </w:r>
    </w:p>
    <w:p>
      <w:pPr>
        <w:widowControl/>
        <w:spacing w:line="360" w:lineRule="auto"/>
        <w:jc w:val="left"/>
        <w:rPr>
          <w:rFonts w:ascii="宋体" w:hAnsi="宋体"/>
          <w:sz w:val="24"/>
        </w:rPr>
      </w:pPr>
      <w:r>
        <w:rPr>
          <w:rFonts w:hint="eastAsia" w:ascii="宋体" w:hAnsi="宋体"/>
          <w:sz w:val="24"/>
        </w:rPr>
        <w:t>地址：</w:t>
      </w:r>
    </w:p>
    <w:p>
      <w:pPr>
        <w:widowControl/>
        <w:spacing w:line="360" w:lineRule="auto"/>
        <w:jc w:val="left"/>
        <w:rPr>
          <w:rFonts w:ascii="宋体" w:hAnsi="宋体"/>
          <w:sz w:val="24"/>
        </w:rPr>
      </w:pPr>
      <w:r>
        <w:rPr>
          <w:rFonts w:hint="eastAsia" w:ascii="宋体" w:hAnsi="宋体"/>
          <w:sz w:val="24"/>
        </w:rPr>
        <w:t>电话：</w:t>
      </w:r>
    </w:p>
    <w:p>
      <w:pPr>
        <w:widowControl/>
        <w:spacing w:line="360" w:lineRule="auto"/>
        <w:jc w:val="left"/>
        <w:rPr>
          <w:rFonts w:ascii="宋体" w:hAnsi="宋体"/>
          <w:bCs/>
          <w:kern w:val="0"/>
          <w:sz w:val="24"/>
        </w:rPr>
      </w:pPr>
      <w:r>
        <w:rPr>
          <w:rFonts w:ascii="宋体" w:hAnsi="宋体"/>
          <w:sz w:val="24"/>
        </w:rPr>
        <w:t> </w:t>
      </w:r>
    </w:p>
    <w:p>
      <w:pPr>
        <w:autoSpaceDE w:val="0"/>
        <w:autoSpaceDN w:val="0"/>
        <w:adjustRightInd w:val="0"/>
        <w:spacing w:line="360" w:lineRule="auto"/>
        <w:ind w:firstLine="200"/>
        <w:jc w:val="center"/>
        <w:rPr>
          <w:rFonts w:ascii="宋体" w:hAnsi="宋体"/>
          <w:b/>
          <w:bCs/>
          <w:sz w:val="24"/>
        </w:rPr>
      </w:pPr>
    </w:p>
    <w:p>
      <w:pPr>
        <w:autoSpaceDE w:val="0"/>
        <w:autoSpaceDN w:val="0"/>
        <w:adjustRightInd w:val="0"/>
        <w:spacing w:line="360" w:lineRule="auto"/>
        <w:ind w:firstLine="200"/>
        <w:jc w:val="center"/>
        <w:rPr>
          <w:rFonts w:ascii="宋体" w:hAnsi="宋体"/>
          <w:b/>
          <w:bCs/>
          <w:sz w:val="24"/>
        </w:rPr>
      </w:pPr>
    </w:p>
    <w:p>
      <w:pPr>
        <w:widowControl/>
        <w:jc w:val="left"/>
        <w:rPr>
          <w:rFonts w:ascii="宋体" w:hAnsi="宋体"/>
          <w:b/>
          <w:bCs/>
          <w:sz w:val="24"/>
        </w:rPr>
      </w:pPr>
      <w:r>
        <w:rPr>
          <w:rFonts w:ascii="宋体" w:hAnsi="宋体"/>
          <w:b/>
          <w:bCs/>
          <w:sz w:val="24"/>
        </w:rPr>
        <w:br w:type="page"/>
      </w:r>
    </w:p>
    <w:p>
      <w:pPr>
        <w:keepNext/>
        <w:spacing w:line="360" w:lineRule="auto"/>
        <w:jc w:val="center"/>
        <w:outlineLvl w:val="0"/>
        <w:rPr>
          <w:rFonts w:ascii="黑体" w:hAnsi="黑体" w:eastAsia="黑体" w:cs="Times New Roman"/>
          <w:bCs/>
          <w:kern w:val="0"/>
          <w:sz w:val="28"/>
          <w:szCs w:val="28"/>
        </w:rPr>
      </w:pPr>
      <w:bookmarkStart w:id="66" w:name="_Toc70512794"/>
      <w:bookmarkStart w:id="67" w:name="_Toc92976622"/>
      <w:r>
        <w:rPr>
          <w:rFonts w:hint="eastAsia" w:ascii="黑体" w:hAnsi="黑体" w:eastAsia="黑体" w:cs="Times New Roman"/>
          <w:bCs/>
          <w:kern w:val="0"/>
          <w:sz w:val="28"/>
          <w:szCs w:val="28"/>
        </w:rPr>
        <w:t>五.评分标准</w:t>
      </w:r>
      <w:bookmarkEnd w:id="66"/>
      <w:bookmarkEnd w:id="67"/>
    </w:p>
    <w:p>
      <w:pPr>
        <w:tabs>
          <w:tab w:val="left" w:pos="945"/>
          <w:tab w:val="left" w:pos="1155"/>
        </w:tabs>
        <w:spacing w:line="360" w:lineRule="auto"/>
        <w:ind w:firstLine="566" w:firstLineChars="236"/>
        <w:rPr>
          <w:rFonts w:ascii="宋体" w:hAnsi="宋体"/>
          <w:bCs/>
          <w:color w:val="000000" w:themeColor="text1"/>
          <w:sz w:val="24"/>
          <w:szCs w:val="24"/>
        </w:rPr>
      </w:pPr>
      <w:r>
        <w:rPr>
          <w:rFonts w:hint="eastAsia" w:ascii="宋体" w:hAnsi="宋体" w:eastAsia="宋体" w:cs="Times New Roman"/>
          <w:bCs/>
          <w:color w:val="000000"/>
          <w:sz w:val="24"/>
          <w:szCs w:val="24"/>
        </w:rPr>
        <w:t>采用平均价法计算，即满足采购文件要求且投标价格平均值为磋商基准价，其价格分为满分。</w:t>
      </w:r>
      <w:r>
        <w:rPr>
          <w:rFonts w:hint="eastAsia" w:ascii="宋体" w:hAnsi="宋体"/>
          <w:bCs/>
          <w:color w:val="000000" w:themeColor="text1"/>
          <w:sz w:val="24"/>
          <w:szCs w:val="24"/>
        </w:rPr>
        <w:t>其他供应商的价格分统一按照下列公式计算：</w:t>
      </w:r>
    </w:p>
    <w:p>
      <w:pPr>
        <w:tabs>
          <w:tab w:val="left" w:pos="945"/>
          <w:tab w:val="left" w:pos="1155"/>
        </w:tabs>
        <w:spacing w:line="360" w:lineRule="auto"/>
        <w:ind w:firstLine="566" w:firstLineChars="236"/>
        <w:rPr>
          <w:rFonts w:ascii="宋体" w:hAnsi="宋体"/>
          <w:bCs/>
          <w:color w:val="000000" w:themeColor="text1"/>
          <w:sz w:val="24"/>
          <w:szCs w:val="24"/>
        </w:rPr>
      </w:pPr>
      <w:r>
        <w:rPr>
          <w:rFonts w:hint="eastAsia" w:ascii="宋体" w:hAnsi="宋体"/>
          <w:bCs/>
          <w:color w:val="000000" w:themeColor="text1"/>
          <w:sz w:val="24"/>
          <w:szCs w:val="24"/>
        </w:rPr>
        <w:t>磋商报价得分</w:t>
      </w:r>
      <w:r>
        <w:rPr>
          <w:rFonts w:ascii="宋体" w:hAnsi="宋体"/>
          <w:bCs/>
          <w:color w:val="000000" w:themeColor="text1"/>
          <w:sz w:val="24"/>
          <w:szCs w:val="24"/>
        </w:rPr>
        <w:t>=(</w:t>
      </w:r>
      <w:r>
        <w:rPr>
          <w:rFonts w:hint="eastAsia" w:ascii="宋体" w:hAnsi="宋体"/>
          <w:bCs/>
          <w:color w:val="000000" w:themeColor="text1"/>
          <w:sz w:val="24"/>
          <w:szCs w:val="24"/>
        </w:rPr>
        <w:t>磋商基准价／最后磋商报价</w:t>
      </w:r>
      <w:r>
        <w:rPr>
          <w:rFonts w:ascii="宋体" w:hAnsi="宋体"/>
          <w:bCs/>
          <w:color w:val="000000" w:themeColor="text1"/>
          <w:sz w:val="24"/>
          <w:szCs w:val="24"/>
        </w:rPr>
        <w:t>)</w:t>
      </w:r>
      <w:r>
        <w:rPr>
          <w:rFonts w:hint="eastAsia" w:ascii="宋体" w:hAnsi="宋体"/>
          <w:bCs/>
          <w:color w:val="000000" w:themeColor="text1"/>
          <w:sz w:val="24"/>
          <w:szCs w:val="24"/>
        </w:rPr>
        <w:t>×价格权值×</w:t>
      </w:r>
      <w:r>
        <w:rPr>
          <w:rFonts w:ascii="宋体" w:hAnsi="宋体"/>
          <w:bCs/>
          <w:color w:val="000000" w:themeColor="text1"/>
          <w:sz w:val="24"/>
          <w:szCs w:val="24"/>
        </w:rPr>
        <w:t>100</w:t>
      </w:r>
      <w:r>
        <w:rPr>
          <w:rFonts w:hint="eastAsia" w:ascii="宋体" w:hAnsi="宋体"/>
          <w:bCs/>
          <w:color w:val="000000" w:themeColor="text1"/>
          <w:sz w:val="24"/>
          <w:szCs w:val="24"/>
        </w:rPr>
        <w:t>%。</w:t>
      </w:r>
    </w:p>
    <w:p>
      <w:pPr>
        <w:widowControl/>
        <w:ind w:firstLine="480" w:firstLineChars="200"/>
        <w:rPr>
          <w:rFonts w:ascii="宋体" w:hAnsi="宋体"/>
          <w:bCs/>
          <w:color w:val="000000" w:themeColor="text1"/>
          <w:sz w:val="24"/>
          <w:szCs w:val="24"/>
        </w:rPr>
      </w:pP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62"/>
        <w:gridCol w:w="6273"/>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7" w:type="pct"/>
            <w:tcBorders>
              <w:right w:val="single" w:color="auto" w:sz="4" w:space="0"/>
            </w:tcBorders>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序号</w:t>
            </w:r>
          </w:p>
        </w:tc>
        <w:tc>
          <w:tcPr>
            <w:tcW w:w="697" w:type="pct"/>
            <w:tcBorders>
              <w:right w:val="single" w:color="auto" w:sz="4" w:space="0"/>
            </w:tcBorders>
            <w:vAlign w:val="center"/>
          </w:tcPr>
          <w:p>
            <w:pPr>
              <w:jc w:val="center"/>
              <w:rPr>
                <w:rFonts w:asciiTheme="minorEastAsia" w:hAnsiTheme="minorEastAsia"/>
                <w:color w:val="auto"/>
                <w:sz w:val="24"/>
                <w:szCs w:val="24"/>
              </w:rPr>
            </w:pPr>
            <w:r>
              <w:rPr>
                <w:rFonts w:asciiTheme="minorEastAsia" w:hAnsiTheme="minorEastAsia"/>
                <w:color w:val="auto"/>
                <w:sz w:val="24"/>
                <w:szCs w:val="24"/>
              </w:rPr>
              <w:t>评分因素</w:t>
            </w:r>
          </w:p>
        </w:tc>
        <w:tc>
          <w:tcPr>
            <w:tcW w:w="3464" w:type="pct"/>
            <w:tcBorders>
              <w:left w:val="single" w:color="auto" w:sz="4" w:space="0"/>
            </w:tcBorders>
            <w:vAlign w:val="center"/>
          </w:tcPr>
          <w:p>
            <w:pPr>
              <w:ind w:firstLine="420"/>
              <w:jc w:val="center"/>
              <w:rPr>
                <w:rFonts w:asciiTheme="minorEastAsia" w:hAnsiTheme="minorEastAsia"/>
                <w:color w:val="auto"/>
                <w:sz w:val="24"/>
                <w:szCs w:val="24"/>
              </w:rPr>
            </w:pPr>
            <w:r>
              <w:rPr>
                <w:rFonts w:hint="eastAsia" w:asciiTheme="minorEastAsia" w:hAnsiTheme="minorEastAsia"/>
                <w:color w:val="auto"/>
                <w:sz w:val="24"/>
                <w:szCs w:val="24"/>
              </w:rPr>
              <w:t>评分标准</w:t>
            </w:r>
          </w:p>
        </w:tc>
        <w:tc>
          <w:tcPr>
            <w:tcW w:w="422" w:type="pct"/>
            <w:tcBorders>
              <w:left w:val="single" w:color="auto" w:sz="4" w:space="0"/>
            </w:tcBorders>
            <w:vAlign w:val="center"/>
          </w:tcPr>
          <w:p>
            <w:pPr>
              <w:jc w:val="center"/>
              <w:rPr>
                <w:rFonts w:asciiTheme="minorEastAsia" w:hAnsiTheme="minorEastAsia"/>
                <w:color w:val="auto"/>
                <w:sz w:val="24"/>
                <w:szCs w:val="24"/>
              </w:rPr>
            </w:pPr>
            <w:r>
              <w:rPr>
                <w:rFonts w:asciiTheme="minorEastAsia" w:hAnsiTheme="minorEastAsia"/>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417" w:type="pct"/>
            <w:tcBorders>
              <w:right w:val="single" w:color="auto" w:sz="4" w:space="0"/>
            </w:tcBorders>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1</w:t>
            </w:r>
          </w:p>
        </w:tc>
        <w:tc>
          <w:tcPr>
            <w:tcW w:w="697" w:type="pct"/>
            <w:tcBorders>
              <w:right w:val="single" w:color="auto" w:sz="4" w:space="0"/>
            </w:tcBorders>
            <w:vAlign w:val="center"/>
          </w:tcPr>
          <w:p>
            <w:pPr>
              <w:jc w:val="center"/>
              <w:rPr>
                <w:rFonts w:asciiTheme="minorEastAsia" w:hAnsiTheme="minorEastAsia"/>
                <w:color w:val="auto"/>
                <w:sz w:val="24"/>
                <w:szCs w:val="24"/>
              </w:rPr>
            </w:pPr>
            <w:r>
              <w:rPr>
                <w:rFonts w:asciiTheme="minorEastAsia" w:hAnsiTheme="minorEastAsia"/>
                <w:color w:val="auto"/>
                <w:sz w:val="24"/>
                <w:szCs w:val="24"/>
              </w:rPr>
              <w:t>价格分</w:t>
            </w: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采用平均价法计算，即满足采购文件要求且投标价格平均值为磋商基准价，其价格分为满分。其他供应商的价格分统一按照下列公式计算（小数点保留两位）：</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磋商报价得分=(磋商基准价／最后磋商报价)×10%×100。</w:t>
            </w:r>
          </w:p>
        </w:tc>
        <w:tc>
          <w:tcPr>
            <w:tcW w:w="422" w:type="pct"/>
            <w:tcBorders>
              <w:left w:val="single" w:color="auto" w:sz="4" w:space="0"/>
            </w:tcBorders>
            <w:vAlign w:val="center"/>
          </w:tcPr>
          <w:p>
            <w:pPr>
              <w:spacing w:line="360" w:lineRule="exact"/>
              <w:jc w:val="center"/>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17" w:type="pct"/>
            <w:tcBorders>
              <w:right w:val="single" w:color="auto" w:sz="4" w:space="0"/>
            </w:tcBorders>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2</w:t>
            </w:r>
          </w:p>
        </w:tc>
        <w:tc>
          <w:tcPr>
            <w:tcW w:w="697" w:type="pct"/>
            <w:tcBorders>
              <w:right w:val="single" w:color="auto" w:sz="4" w:space="0"/>
            </w:tcBorders>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业绩</w:t>
            </w: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供应商2016 年1月1日至今承担过公路工程交</w:t>
            </w:r>
            <w:r>
              <w:rPr>
                <w:rFonts w:hint="eastAsia" w:ascii="宋体" w:hAnsi="宋体" w:eastAsia="宋体" w:cs="Times New Roman"/>
                <w:bCs/>
                <w:color w:val="auto"/>
                <w:sz w:val="24"/>
                <w:szCs w:val="24"/>
                <w:lang w:val="en-US" w:eastAsia="zh-CN"/>
              </w:rPr>
              <w:t>通</w:t>
            </w:r>
            <w:r>
              <w:rPr>
                <w:rFonts w:hint="eastAsia" w:ascii="宋体" w:hAnsi="宋体" w:eastAsia="宋体" w:cs="Times New Roman"/>
                <w:bCs/>
                <w:color w:val="auto"/>
                <w:sz w:val="24"/>
                <w:szCs w:val="24"/>
              </w:rPr>
              <w:t>安</w:t>
            </w:r>
            <w:r>
              <w:rPr>
                <w:rFonts w:hint="eastAsia" w:ascii="宋体" w:hAnsi="宋体" w:eastAsia="宋体" w:cs="Times New Roman"/>
                <w:bCs/>
                <w:color w:val="auto"/>
                <w:sz w:val="24"/>
                <w:szCs w:val="24"/>
                <w:lang w:val="en-US" w:eastAsia="zh-CN"/>
              </w:rPr>
              <w:t>全</w:t>
            </w:r>
            <w:r>
              <w:rPr>
                <w:rFonts w:hint="eastAsia" w:ascii="宋体" w:hAnsi="宋体" w:eastAsia="宋体" w:cs="Times New Roman"/>
                <w:bCs/>
                <w:color w:val="auto"/>
                <w:sz w:val="24"/>
                <w:szCs w:val="24"/>
              </w:rPr>
              <w:t>设施检测项目的，有一个得3分，最多得15分。无类似项目业绩不得分。</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注：响应文件内提供合同复印件加盖公章。</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17" w:type="pct"/>
            <w:vMerge w:val="restart"/>
            <w:tcBorders>
              <w:right w:val="single" w:color="auto" w:sz="4" w:space="0"/>
            </w:tcBorders>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3</w:t>
            </w:r>
          </w:p>
        </w:tc>
        <w:tc>
          <w:tcPr>
            <w:tcW w:w="697" w:type="pct"/>
            <w:vMerge w:val="restart"/>
            <w:tcBorders>
              <w:right w:val="single" w:color="auto" w:sz="4" w:space="0"/>
            </w:tcBorders>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项目组成员配置情况</w:t>
            </w: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1、项目负责人：</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（1）具备高级工程师职称的，得2分；具备工程师职称得1分，其他不得分。</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（2）2016年至今（以合同签订日期为准），担任过公路工程交安设施检测项目的项目负责人的，每有一个合同业绩得2分。最高得10分。</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注：响应文件中提供项目负责人的职称证书、作为项目负责人从事的业绩证明和供应商近三个月中任意一个月份为其缴纳社会保障资金的相关材料并加盖公章。</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17" w:type="pct"/>
            <w:vMerge w:val="continue"/>
            <w:tcBorders>
              <w:right w:val="single" w:color="auto" w:sz="4" w:space="0"/>
            </w:tcBorders>
            <w:vAlign w:val="center"/>
          </w:tcPr>
          <w:p>
            <w:pPr>
              <w:widowControl/>
              <w:spacing w:line="360" w:lineRule="auto"/>
              <w:jc w:val="center"/>
              <w:rPr>
                <w:rFonts w:ascii="宋体" w:hAnsi="宋体" w:eastAsia="宋体" w:cs="Times New Roman"/>
                <w:bCs/>
                <w:color w:val="auto"/>
                <w:sz w:val="24"/>
                <w:szCs w:val="24"/>
              </w:rPr>
            </w:pPr>
          </w:p>
        </w:tc>
        <w:tc>
          <w:tcPr>
            <w:tcW w:w="697" w:type="pct"/>
            <w:vMerge w:val="continue"/>
            <w:tcBorders>
              <w:right w:val="single" w:color="auto" w:sz="4" w:space="0"/>
            </w:tcBorders>
            <w:vAlign w:val="center"/>
          </w:tcPr>
          <w:p>
            <w:pPr>
              <w:widowControl/>
              <w:spacing w:line="360" w:lineRule="auto"/>
              <w:jc w:val="center"/>
              <w:rPr>
                <w:rFonts w:ascii="宋体" w:hAnsi="宋体" w:eastAsia="宋体" w:cs="Times New Roman"/>
                <w:bCs/>
                <w:color w:val="auto"/>
                <w:sz w:val="24"/>
                <w:szCs w:val="24"/>
              </w:rPr>
            </w:pP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2、项目组其他成员：</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（1）本项目必须配备持检测上岗证的1名项目负责人及3名项目组其他成员（除项目负责人外），在满足上述基本要求的基础上，每增加1名持有交安设施或交通工程试验检测证得1分，最高得分为4分。</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（2）具有交通工程相关专业高级（含）及以上技术职称，每有一个得2分，最高为4分。</w:t>
            </w:r>
          </w:p>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注：响应文件中提供检测人员清单、检测人员资格证书、职称证书和在供应商近三个月中任意一个月份为其缴纳社会保障资金的相关材料并加盖公章。</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7" w:type="pct"/>
            <w:vMerge w:val="restart"/>
            <w:tcBorders>
              <w:right w:val="single" w:color="auto" w:sz="4" w:space="0"/>
            </w:tcBorders>
            <w:vAlign w:val="center"/>
          </w:tcPr>
          <w:p>
            <w:pPr>
              <w:pStyle w:val="110"/>
              <w:spacing w:line="360" w:lineRule="auto"/>
              <w:ind w:firstLine="480"/>
              <w:jc w:val="center"/>
              <w:rPr>
                <w:rFonts w:ascii="宋体" w:hAnsi="宋体"/>
                <w:bCs/>
                <w:color w:val="auto"/>
                <w:sz w:val="24"/>
                <w:szCs w:val="24"/>
              </w:rPr>
            </w:pPr>
            <w:r>
              <w:rPr>
                <w:rFonts w:hint="eastAsia" w:ascii="宋体" w:hAnsi="宋体"/>
                <w:bCs/>
                <w:color w:val="auto"/>
                <w:sz w:val="24"/>
                <w:szCs w:val="24"/>
              </w:rPr>
              <w:t>4</w:t>
            </w:r>
          </w:p>
        </w:tc>
        <w:tc>
          <w:tcPr>
            <w:tcW w:w="697" w:type="pct"/>
            <w:vMerge w:val="restart"/>
            <w:tcBorders>
              <w:right w:val="single" w:color="auto" w:sz="4" w:space="0"/>
            </w:tcBorders>
            <w:vAlign w:val="center"/>
          </w:tcPr>
          <w:p>
            <w:pPr>
              <w:spacing w:line="360" w:lineRule="auto"/>
              <w:jc w:val="center"/>
              <w:rPr>
                <w:rFonts w:hint="default"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en-US" w:eastAsia="zh-CN"/>
              </w:rPr>
              <w:t>技术部分</w:t>
            </w: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工作的程序与方法(10分)：根据试验检测的依据、试验检测工作的程序、试验检测的内容、方法、频率、试验检测资料及分析报告的形成等方面进行评分，较好的得8-10分；一般的得6-8分；较差的得5-6分；与本项目无关的不得分。</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417" w:type="pct"/>
            <w:vMerge w:val="continue"/>
            <w:tcBorders>
              <w:right w:val="single" w:color="auto" w:sz="4" w:space="0"/>
            </w:tcBorders>
            <w:vAlign w:val="center"/>
          </w:tcPr>
          <w:p>
            <w:pPr>
              <w:pStyle w:val="110"/>
              <w:spacing w:line="360" w:lineRule="auto"/>
              <w:ind w:firstLine="480"/>
              <w:jc w:val="center"/>
              <w:rPr>
                <w:rFonts w:ascii="宋体" w:hAnsi="宋体"/>
                <w:bCs/>
                <w:color w:val="auto"/>
                <w:sz w:val="24"/>
                <w:szCs w:val="24"/>
              </w:rPr>
            </w:pPr>
          </w:p>
        </w:tc>
        <w:tc>
          <w:tcPr>
            <w:tcW w:w="697" w:type="pct"/>
            <w:vMerge w:val="continue"/>
            <w:tcBorders>
              <w:right w:val="single" w:color="auto" w:sz="4" w:space="0"/>
            </w:tcBorders>
            <w:vAlign w:val="center"/>
          </w:tcPr>
          <w:p>
            <w:pPr>
              <w:spacing w:line="360" w:lineRule="auto"/>
              <w:jc w:val="center"/>
              <w:rPr>
                <w:rFonts w:ascii="宋体" w:hAnsi="宋体"/>
                <w:bCs/>
                <w:color w:val="auto"/>
                <w:sz w:val="24"/>
                <w:szCs w:val="24"/>
              </w:rPr>
            </w:pP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2、工作服务的目标及保证措施（</w:t>
            </w:r>
            <w:r>
              <w:rPr>
                <w:rFonts w:hint="eastAsia" w:ascii="宋体" w:hAnsi="宋体" w:eastAsia="宋体" w:cs="Times New Roman"/>
                <w:bCs/>
                <w:color w:val="auto"/>
                <w:sz w:val="24"/>
                <w:szCs w:val="24"/>
                <w:lang w:val="en-US" w:eastAsia="zh-CN"/>
              </w:rPr>
              <w:t>15</w:t>
            </w:r>
            <w:r>
              <w:rPr>
                <w:rFonts w:hint="eastAsia" w:ascii="宋体" w:hAnsi="宋体" w:eastAsia="宋体" w:cs="Times New Roman"/>
                <w:bCs/>
                <w:color w:val="auto"/>
                <w:sz w:val="24"/>
                <w:szCs w:val="24"/>
              </w:rPr>
              <w:t>分）：根据试验检测工作服务的目标、保证试验检测精度的技术措施、试验检测进度计划及保证试验检测进度的措施、试验检测工作质量与服务保证措施、安全生产管理措施等方面进行评分，较好的得10-15分；一般的得8-10分；较差的得5-8分；与本项目无关的不得分。</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417" w:type="pct"/>
            <w:vMerge w:val="continue"/>
            <w:tcBorders>
              <w:right w:val="single" w:color="auto" w:sz="4" w:space="0"/>
            </w:tcBorders>
            <w:vAlign w:val="center"/>
          </w:tcPr>
          <w:p>
            <w:pPr>
              <w:pStyle w:val="110"/>
              <w:widowControl/>
              <w:spacing w:line="360" w:lineRule="auto"/>
              <w:ind w:firstLine="0" w:firstLineChars="0"/>
              <w:jc w:val="center"/>
              <w:rPr>
                <w:rFonts w:ascii="宋体" w:hAnsi="宋体"/>
                <w:bCs/>
                <w:color w:val="auto"/>
                <w:sz w:val="24"/>
                <w:szCs w:val="24"/>
              </w:rPr>
            </w:pPr>
          </w:p>
        </w:tc>
        <w:tc>
          <w:tcPr>
            <w:tcW w:w="697" w:type="pct"/>
            <w:vMerge w:val="continue"/>
            <w:tcBorders>
              <w:right w:val="single" w:color="auto" w:sz="4" w:space="0"/>
            </w:tcBorders>
            <w:vAlign w:val="center"/>
          </w:tcPr>
          <w:p>
            <w:pPr>
              <w:widowControl/>
              <w:spacing w:line="360" w:lineRule="auto"/>
              <w:jc w:val="center"/>
              <w:rPr>
                <w:rFonts w:ascii="宋体" w:hAnsi="宋体"/>
                <w:bCs/>
                <w:color w:val="auto"/>
                <w:sz w:val="24"/>
                <w:szCs w:val="24"/>
              </w:rPr>
            </w:pP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3、对本项目的重点难点分析（15分）：根据检测项目的难点、重点进行分析，且能提出明确的针对性的措施方法，并能提出积极可行的合理意见等进行评分，较好的得10-15分；一般的得8-10分；较差的得5-8分；与本项目无关的不得分。</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17" w:type="pct"/>
            <w:tcBorders>
              <w:right w:val="single" w:color="auto" w:sz="4" w:space="0"/>
            </w:tcBorders>
            <w:vAlign w:val="center"/>
          </w:tcPr>
          <w:p>
            <w:pPr>
              <w:pStyle w:val="110"/>
              <w:widowControl/>
              <w:spacing w:line="360" w:lineRule="auto"/>
              <w:ind w:firstLine="0" w:firstLineChars="0"/>
              <w:jc w:val="center"/>
              <w:rPr>
                <w:rFonts w:ascii="宋体" w:hAnsi="宋体"/>
                <w:bCs/>
                <w:color w:val="auto"/>
                <w:sz w:val="24"/>
                <w:szCs w:val="24"/>
              </w:rPr>
            </w:pPr>
            <w:r>
              <w:rPr>
                <w:rFonts w:hint="eastAsia" w:ascii="宋体" w:hAnsi="宋体"/>
                <w:bCs/>
                <w:color w:val="auto"/>
                <w:sz w:val="24"/>
                <w:szCs w:val="24"/>
              </w:rPr>
              <w:t>5</w:t>
            </w:r>
          </w:p>
        </w:tc>
        <w:tc>
          <w:tcPr>
            <w:tcW w:w="697" w:type="pct"/>
            <w:tcBorders>
              <w:right w:val="single" w:color="auto" w:sz="4" w:space="0"/>
            </w:tcBorders>
            <w:vAlign w:val="center"/>
          </w:tcPr>
          <w:p>
            <w:pPr>
              <w:widowControl/>
              <w:spacing w:line="360" w:lineRule="auto"/>
              <w:jc w:val="center"/>
              <w:rPr>
                <w:rFonts w:ascii="宋体" w:hAnsi="宋体" w:eastAsia="宋体"/>
                <w:bCs/>
                <w:color w:val="auto"/>
                <w:sz w:val="24"/>
                <w:szCs w:val="24"/>
              </w:rPr>
            </w:pPr>
            <w:r>
              <w:rPr>
                <w:rFonts w:hint="eastAsia" w:ascii="宋体" w:hAnsi="宋体"/>
                <w:bCs/>
                <w:color w:val="auto"/>
                <w:sz w:val="24"/>
                <w:szCs w:val="24"/>
              </w:rPr>
              <w:t>检测设备</w:t>
            </w: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根据拟投入其他设备的种类是否齐备，技术性能是否先进，数量是否满足结构检测工作要求，是否符合本项目检测特点进行评分，较好的得8-10分，一般的得4-7分，较差的得1-3分。</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17" w:type="pct"/>
            <w:tcBorders>
              <w:right w:val="single" w:color="auto" w:sz="4" w:space="0"/>
            </w:tcBorders>
            <w:vAlign w:val="center"/>
          </w:tcPr>
          <w:p>
            <w:pPr>
              <w:pStyle w:val="110"/>
              <w:widowControl/>
              <w:spacing w:line="360" w:lineRule="auto"/>
              <w:ind w:firstLine="0" w:firstLineChars="0"/>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697" w:type="pct"/>
            <w:tcBorders>
              <w:right w:val="single" w:color="auto" w:sz="4" w:space="0"/>
            </w:tcBorders>
            <w:vAlign w:val="center"/>
          </w:tcPr>
          <w:p>
            <w:pPr>
              <w:widowControl/>
              <w:spacing w:line="360" w:lineRule="auto"/>
              <w:jc w:val="center"/>
              <w:rPr>
                <w:rFonts w:ascii="宋体" w:hAnsi="宋体"/>
                <w:bCs/>
                <w:color w:val="auto"/>
                <w:sz w:val="24"/>
                <w:szCs w:val="24"/>
              </w:rPr>
            </w:pPr>
            <w:r>
              <w:rPr>
                <w:rFonts w:ascii="宋体" w:hAnsi="宋体"/>
                <w:bCs/>
                <w:color w:val="auto"/>
                <w:sz w:val="24"/>
                <w:szCs w:val="24"/>
              </w:rPr>
              <w:t>合理化建议</w:t>
            </w:r>
          </w:p>
        </w:tc>
        <w:tc>
          <w:tcPr>
            <w:tcW w:w="3464" w:type="pct"/>
            <w:tcBorders>
              <w:left w:val="single" w:color="auto" w:sz="4" w:space="0"/>
            </w:tcBorders>
            <w:vAlign w:val="center"/>
          </w:tcPr>
          <w:p>
            <w:pPr>
              <w:spacing w:line="360" w:lineRule="exact"/>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针对本项目的质量检测提出合理化建议，并被磋商小组认可的，每有1条得1分，最高得5分，没有或不被认可的不得分。</w:t>
            </w:r>
          </w:p>
        </w:tc>
        <w:tc>
          <w:tcPr>
            <w:tcW w:w="422" w:type="pct"/>
            <w:tcBorders>
              <w:left w:val="single" w:color="auto" w:sz="4" w:space="0"/>
            </w:tcBorders>
            <w:vAlign w:val="center"/>
          </w:tcPr>
          <w:p>
            <w:pPr>
              <w:widowControl/>
              <w:spacing w:line="360" w:lineRule="auto"/>
              <w:jc w:val="center"/>
              <w:rPr>
                <w:rFonts w:ascii="宋体" w:hAnsi="宋体" w:eastAsia="宋体" w:cs="Times New Roman"/>
                <w:bCs/>
                <w:color w:val="auto"/>
                <w:sz w:val="24"/>
                <w:szCs w:val="24"/>
              </w:rPr>
            </w:pPr>
            <w:r>
              <w:rPr>
                <w:rFonts w:hint="eastAsia" w:ascii="宋体" w:hAnsi="宋体" w:eastAsia="宋体" w:cs="Times New Roman"/>
                <w:bCs/>
                <w:color w:val="auto"/>
                <w:sz w:val="24"/>
                <w:szCs w:val="24"/>
              </w:rPr>
              <w:t>5</w:t>
            </w:r>
          </w:p>
        </w:tc>
      </w:tr>
    </w:tbl>
    <w:p>
      <w:pPr>
        <w:widowControl/>
        <w:spacing w:line="360" w:lineRule="auto"/>
        <w:rPr>
          <w:rFonts w:asciiTheme="minorEastAsia" w:hAnsiTheme="minorEastAsia"/>
          <w:sz w:val="24"/>
          <w:szCs w:val="24"/>
        </w:rPr>
      </w:pPr>
      <w:r>
        <w:rPr>
          <w:rFonts w:hint="eastAsia" w:asciiTheme="minorEastAsia" w:hAnsiTheme="minorEastAsia"/>
          <w:sz w:val="24"/>
          <w:szCs w:val="24"/>
        </w:rPr>
        <w:t xml:space="preserve">注： </w:t>
      </w:r>
    </w:p>
    <w:p>
      <w:pPr>
        <w:widowControl/>
        <w:spacing w:line="360" w:lineRule="auto"/>
        <w:rPr>
          <w:rFonts w:asciiTheme="minorEastAsia" w:hAnsiTheme="minorEastAsia"/>
          <w:sz w:val="24"/>
          <w:szCs w:val="24"/>
        </w:rPr>
      </w:pPr>
      <w:r>
        <w:rPr>
          <w:rFonts w:hint="eastAsia" w:asciiTheme="minorEastAsia" w:hAnsiTheme="minorEastAsia"/>
          <w:sz w:val="24"/>
          <w:szCs w:val="24"/>
        </w:rPr>
        <w:t>1、评分细则中要求提供的证明文件及资料等在响应文件中提供复印件并加盖公章，过时不予接收。</w:t>
      </w:r>
    </w:p>
    <w:p>
      <w:pPr>
        <w:widowControl/>
        <w:spacing w:line="360" w:lineRule="auto"/>
        <w:rPr>
          <w:rFonts w:asciiTheme="minorEastAsia" w:hAnsiTheme="minorEastAsia"/>
          <w:sz w:val="24"/>
          <w:szCs w:val="24"/>
        </w:rPr>
      </w:pPr>
      <w:r>
        <w:rPr>
          <w:rFonts w:hint="eastAsia" w:asciiTheme="minorEastAsia" w:hAnsiTheme="minorEastAsia"/>
          <w:sz w:val="24"/>
          <w:szCs w:val="24"/>
        </w:rPr>
        <w:t>2、评审时，未能按以上要求提供相应证明的，不作为评分依据，不得分。</w:t>
      </w:r>
    </w:p>
    <w:p>
      <w:pPr>
        <w:widowControl/>
        <w:spacing w:line="360" w:lineRule="auto"/>
        <w:rPr>
          <w:rFonts w:ascii="仿宋" w:hAnsi="仿宋" w:eastAsia="仿宋"/>
          <w:sz w:val="32"/>
          <w:szCs w:val="32"/>
        </w:rPr>
      </w:pPr>
      <w:r>
        <w:rPr>
          <w:rFonts w:hint="eastAsia" w:asciiTheme="minorEastAsia" w:hAnsiTheme="minorEastAsia"/>
          <w:sz w:val="24"/>
          <w:szCs w:val="24"/>
        </w:rPr>
        <w:t>3、为便于评分，请供应商按评分表样式，逐条列出证明材料所在页码，格式自定。</w:t>
      </w:r>
    </w:p>
    <w:p>
      <w:pPr>
        <w:widowControl/>
        <w:jc w:val="center"/>
        <w:rPr>
          <w:rFonts w:ascii="仿宋" w:hAnsi="仿宋" w:eastAsia="仿宋"/>
          <w:sz w:val="32"/>
          <w:szCs w:val="32"/>
        </w:rPr>
        <w:sectPr>
          <w:headerReference r:id="rId8" w:type="default"/>
          <w:footerReference r:id="rId9" w:type="default"/>
          <w:pgSz w:w="11906" w:h="16838"/>
          <w:pgMar w:top="1239" w:right="1474" w:bottom="1276" w:left="1588" w:header="567" w:footer="476" w:gutter="0"/>
          <w:pgNumType w:start="1"/>
          <w:cols w:space="425" w:num="1"/>
          <w:docGrid w:type="lines" w:linePitch="312" w:charSpace="0"/>
        </w:sectPr>
      </w:pPr>
    </w:p>
    <w:bookmarkEnd w:id="55"/>
    <w:p>
      <w:pPr>
        <w:keepNext/>
        <w:spacing w:line="360" w:lineRule="auto"/>
        <w:jc w:val="center"/>
        <w:outlineLvl w:val="0"/>
        <w:rPr>
          <w:rFonts w:ascii="黑体" w:hAnsi="黑体" w:eastAsia="黑体" w:cs="Times New Roman"/>
          <w:bCs/>
          <w:kern w:val="0"/>
          <w:sz w:val="28"/>
          <w:szCs w:val="28"/>
        </w:rPr>
      </w:pPr>
      <w:bookmarkStart w:id="68" w:name="_Toc92976623"/>
      <w:bookmarkStart w:id="69" w:name="_Toc55147052"/>
      <w:r>
        <w:rPr>
          <w:rFonts w:hint="eastAsia" w:ascii="黑体" w:hAnsi="黑体" w:eastAsia="黑体" w:cs="Times New Roman"/>
          <w:bCs/>
          <w:kern w:val="0"/>
          <w:sz w:val="28"/>
          <w:szCs w:val="28"/>
        </w:rPr>
        <w:t>六．响应文件格式</w:t>
      </w:r>
      <w:bookmarkEnd w:id="68"/>
      <w:bookmarkEnd w:id="69"/>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jc w:val="center"/>
        <w:rPr>
          <w:rFonts w:ascii="黑体" w:eastAsia="黑体"/>
          <w:bCs/>
          <w:color w:val="000000" w:themeColor="text1"/>
          <w:sz w:val="84"/>
          <w:szCs w:val="84"/>
        </w:rPr>
      </w:pPr>
      <w:bookmarkStart w:id="70" w:name="_Toc55147053"/>
      <w:r>
        <w:rPr>
          <w:rFonts w:hint="eastAsia" w:ascii="黑体" w:eastAsia="黑体"/>
          <w:bCs/>
          <w:color w:val="000000" w:themeColor="text1"/>
          <w:sz w:val="84"/>
          <w:szCs w:val="84"/>
        </w:rPr>
        <w:t>响 应 文 件</w:t>
      </w:r>
    </w:p>
    <w:p>
      <w:pPr>
        <w:jc w:val="center"/>
        <w:rPr>
          <w:rFonts w:ascii="黑体" w:eastAsia="黑体"/>
          <w:bCs/>
          <w:color w:val="000000" w:themeColor="text1"/>
          <w:sz w:val="72"/>
        </w:rPr>
      </w:pPr>
    </w:p>
    <w:p>
      <w:pPr>
        <w:jc w:val="center"/>
        <w:rPr>
          <w:rFonts w:ascii="楷体_GB2312" w:eastAsia="楷体_GB2312"/>
          <w:bCs/>
          <w:color w:val="000000" w:themeColor="text1"/>
          <w:sz w:val="72"/>
        </w:rPr>
      </w:pPr>
    </w:p>
    <w:p>
      <w:pPr>
        <w:jc w:val="center"/>
        <w:rPr>
          <w:rFonts w:ascii="楷体_GB2312" w:eastAsia="楷体_GB2312"/>
          <w:bCs/>
          <w:color w:val="000000" w:themeColor="text1"/>
          <w:sz w:val="72"/>
        </w:rPr>
      </w:pPr>
    </w:p>
    <w:p>
      <w:pPr>
        <w:rPr>
          <w:rFonts w:ascii="楷体_GB2312" w:eastAsia="楷体_GB2312"/>
          <w:bCs/>
          <w:color w:val="000000" w:themeColor="text1"/>
          <w:sz w:val="72"/>
        </w:rPr>
      </w:pPr>
    </w:p>
    <w:p>
      <w:pPr>
        <w:jc w:val="center"/>
        <w:rPr>
          <w:rFonts w:ascii="楷体_GB2312" w:eastAsia="楷体_GB2312"/>
          <w:bCs/>
          <w:color w:val="000000" w:themeColor="text1"/>
          <w:sz w:val="28"/>
        </w:rPr>
      </w:pPr>
    </w:p>
    <w:p>
      <w:pPr>
        <w:jc w:val="center"/>
        <w:rPr>
          <w:rFonts w:ascii="黑体" w:eastAsia="黑体"/>
          <w:bCs/>
          <w:color w:val="000000" w:themeColor="text1"/>
          <w:sz w:val="36"/>
          <w:szCs w:val="36"/>
        </w:rPr>
      </w:pPr>
      <w:r>
        <w:rPr>
          <w:rFonts w:hint="eastAsia" w:ascii="黑体" w:eastAsia="黑体"/>
          <w:bCs/>
          <w:color w:val="000000" w:themeColor="text1"/>
          <w:sz w:val="36"/>
          <w:szCs w:val="36"/>
        </w:rPr>
        <w:t>项 目 编 号：</w:t>
      </w:r>
    </w:p>
    <w:p>
      <w:pPr>
        <w:jc w:val="center"/>
        <w:rPr>
          <w:rFonts w:ascii="黑体" w:eastAsia="黑体"/>
          <w:bCs/>
          <w:color w:val="000000" w:themeColor="text1"/>
          <w:sz w:val="36"/>
          <w:szCs w:val="36"/>
        </w:rPr>
      </w:pPr>
      <w:r>
        <w:rPr>
          <w:rFonts w:hint="eastAsia" w:ascii="黑体" w:eastAsia="黑体"/>
          <w:bCs/>
          <w:color w:val="000000" w:themeColor="text1"/>
          <w:sz w:val="36"/>
          <w:szCs w:val="36"/>
        </w:rPr>
        <w:t>项 目 名 称：</w:t>
      </w:r>
    </w:p>
    <w:p>
      <w:pPr>
        <w:jc w:val="center"/>
        <w:rPr>
          <w:rFonts w:ascii="黑体" w:eastAsia="黑体"/>
          <w:bCs/>
          <w:color w:val="000000" w:themeColor="text1"/>
          <w:sz w:val="36"/>
          <w:szCs w:val="36"/>
        </w:rPr>
      </w:pPr>
      <w:r>
        <w:rPr>
          <w:rFonts w:hint="eastAsia" w:ascii="黑体" w:eastAsia="黑体"/>
          <w:bCs/>
          <w:color w:val="000000" w:themeColor="text1"/>
          <w:sz w:val="36"/>
          <w:szCs w:val="36"/>
        </w:rPr>
        <w:t>报 价 人：</w:t>
      </w:r>
    </w:p>
    <w:p>
      <w:pPr>
        <w:jc w:val="center"/>
        <w:rPr>
          <w:rFonts w:ascii="黑体" w:eastAsia="黑体"/>
          <w:bCs/>
          <w:color w:val="000000" w:themeColor="text1"/>
          <w:sz w:val="36"/>
          <w:szCs w:val="36"/>
        </w:rPr>
      </w:pPr>
      <w:r>
        <w:rPr>
          <w:rFonts w:hint="eastAsia" w:ascii="黑体" w:eastAsia="黑体"/>
          <w:bCs/>
          <w:color w:val="000000" w:themeColor="text1"/>
          <w:sz w:val="36"/>
          <w:szCs w:val="36"/>
        </w:rPr>
        <w:t>日       期：</w:t>
      </w:r>
    </w:p>
    <w:p>
      <w:pPr>
        <w:widowControl/>
        <w:jc w:val="left"/>
        <w:rPr>
          <w:rFonts w:ascii="黑体" w:eastAsia="黑体"/>
          <w:bCs/>
          <w:color w:val="000000" w:themeColor="text1"/>
          <w:sz w:val="36"/>
          <w:szCs w:val="36"/>
        </w:rPr>
      </w:pPr>
    </w:p>
    <w:p>
      <w:pPr>
        <w:widowControl/>
        <w:jc w:val="left"/>
        <w:rPr>
          <w:rFonts w:ascii="黑体" w:hAnsi="黑体" w:eastAsia="黑体"/>
          <w:sz w:val="24"/>
          <w:szCs w:val="24"/>
        </w:rPr>
      </w:pPr>
      <w:r>
        <w:rPr>
          <w:rFonts w:ascii="黑体" w:hAnsi="黑体" w:eastAsia="黑体"/>
          <w:sz w:val="24"/>
          <w:szCs w:val="24"/>
        </w:rPr>
        <w:br w:type="page"/>
      </w:r>
    </w:p>
    <w:bookmarkEnd w:id="70"/>
    <w:p>
      <w:pPr>
        <w:spacing w:line="360" w:lineRule="auto"/>
        <w:jc w:val="center"/>
        <w:rPr>
          <w:rFonts w:ascii="黑体" w:hAnsi="黑体" w:eastAsia="黑体"/>
          <w:bCs/>
          <w:sz w:val="30"/>
          <w:szCs w:val="30"/>
        </w:rPr>
      </w:pPr>
      <w:r>
        <w:rPr>
          <w:rFonts w:hint="eastAsia" w:ascii="黑体" w:hAnsi="黑体" w:eastAsia="黑体"/>
          <w:bCs/>
          <w:sz w:val="30"/>
          <w:szCs w:val="30"/>
        </w:rPr>
        <w:t>响应文件主要目录</w:t>
      </w:r>
    </w:p>
    <w:p>
      <w:pPr>
        <w:spacing w:line="560" w:lineRule="exact"/>
        <w:jc w:val="center"/>
        <w:rPr>
          <w:rFonts w:ascii="宋体" w:hAnsi="宋体"/>
          <w:b/>
          <w:bCs/>
          <w:sz w:val="24"/>
          <w:szCs w:val="24"/>
        </w:rPr>
      </w:pPr>
    </w:p>
    <w:p>
      <w:pPr>
        <w:ind w:firstLine="640" w:firstLineChars="200"/>
        <w:rPr>
          <w:rFonts w:ascii="宋体" w:hAnsi="宋体"/>
          <w:sz w:val="32"/>
          <w:szCs w:val="32"/>
        </w:rPr>
      </w:pPr>
      <w:r>
        <w:rPr>
          <w:rFonts w:hint="eastAsia" w:ascii="宋体" w:hAnsi="宋体"/>
          <w:sz w:val="32"/>
          <w:szCs w:val="32"/>
        </w:rPr>
        <w:t>一、供应商情况说明</w:t>
      </w:r>
    </w:p>
    <w:p>
      <w:pPr>
        <w:ind w:firstLine="640" w:firstLineChars="200"/>
        <w:rPr>
          <w:rFonts w:ascii="宋体" w:hAnsi="宋体"/>
          <w:sz w:val="32"/>
          <w:szCs w:val="32"/>
        </w:rPr>
      </w:pPr>
      <w:r>
        <w:rPr>
          <w:rFonts w:hint="eastAsia" w:ascii="宋体" w:hAnsi="宋体"/>
          <w:sz w:val="32"/>
          <w:szCs w:val="32"/>
        </w:rPr>
        <w:t>二、资格审查响应对照表</w:t>
      </w:r>
    </w:p>
    <w:p>
      <w:pPr>
        <w:ind w:firstLine="640" w:firstLineChars="200"/>
        <w:rPr>
          <w:rFonts w:ascii="宋体" w:hAnsi="宋体"/>
          <w:sz w:val="32"/>
          <w:szCs w:val="32"/>
        </w:rPr>
      </w:pPr>
      <w:r>
        <w:rPr>
          <w:rFonts w:hint="eastAsia" w:ascii="宋体" w:hAnsi="宋体"/>
          <w:sz w:val="32"/>
          <w:szCs w:val="32"/>
        </w:rPr>
        <w:t>三、资格、资信证明文件</w:t>
      </w:r>
    </w:p>
    <w:p>
      <w:pPr>
        <w:ind w:firstLine="640" w:firstLineChars="200"/>
        <w:rPr>
          <w:rFonts w:ascii="宋体" w:hAnsi="宋体"/>
          <w:sz w:val="32"/>
          <w:szCs w:val="32"/>
        </w:rPr>
      </w:pPr>
      <w:r>
        <w:rPr>
          <w:rFonts w:hint="eastAsia" w:ascii="宋体" w:hAnsi="宋体"/>
          <w:sz w:val="32"/>
          <w:szCs w:val="32"/>
        </w:rPr>
        <w:t>四、报价一览表</w:t>
      </w:r>
    </w:p>
    <w:p>
      <w:pPr>
        <w:ind w:firstLine="640" w:firstLineChars="200"/>
        <w:rPr>
          <w:rFonts w:ascii="宋体" w:hAnsi="宋体"/>
          <w:sz w:val="32"/>
          <w:szCs w:val="32"/>
        </w:rPr>
      </w:pPr>
      <w:r>
        <w:rPr>
          <w:rFonts w:hint="eastAsia" w:ascii="宋体" w:hAnsi="宋体"/>
          <w:sz w:val="32"/>
          <w:szCs w:val="32"/>
        </w:rPr>
        <w:t>五、明细报价表</w:t>
      </w:r>
    </w:p>
    <w:p>
      <w:pPr>
        <w:ind w:firstLine="640" w:firstLineChars="200"/>
        <w:rPr>
          <w:rFonts w:ascii="宋体" w:hAnsi="宋体"/>
          <w:sz w:val="32"/>
          <w:szCs w:val="32"/>
        </w:rPr>
      </w:pPr>
      <w:r>
        <w:rPr>
          <w:rFonts w:hint="eastAsia" w:ascii="宋体" w:hAnsi="宋体"/>
          <w:sz w:val="32"/>
          <w:szCs w:val="32"/>
        </w:rPr>
        <w:t>六、技术参数响应及偏离表</w:t>
      </w:r>
    </w:p>
    <w:p>
      <w:pPr>
        <w:ind w:firstLine="640" w:firstLineChars="200"/>
        <w:rPr>
          <w:rFonts w:ascii="宋体" w:hAnsi="宋体"/>
          <w:sz w:val="32"/>
          <w:szCs w:val="32"/>
        </w:rPr>
      </w:pPr>
      <w:r>
        <w:rPr>
          <w:rFonts w:hint="eastAsia" w:ascii="宋体" w:hAnsi="宋体"/>
          <w:sz w:val="32"/>
          <w:szCs w:val="32"/>
        </w:rPr>
        <w:t>七、商务条款响应及偏离表</w:t>
      </w:r>
    </w:p>
    <w:p>
      <w:pPr>
        <w:ind w:firstLine="640" w:firstLineChars="200"/>
        <w:rPr>
          <w:rFonts w:ascii="宋体" w:hAnsi="宋体"/>
          <w:sz w:val="32"/>
          <w:szCs w:val="32"/>
        </w:rPr>
      </w:pPr>
      <w:r>
        <w:rPr>
          <w:rFonts w:hint="eastAsia" w:ascii="宋体" w:hAnsi="宋体"/>
          <w:sz w:val="32"/>
          <w:szCs w:val="32"/>
        </w:rPr>
        <w:t>八、技术方案、服务承诺、培训承诺</w:t>
      </w:r>
    </w:p>
    <w:p>
      <w:pPr>
        <w:ind w:firstLine="640" w:firstLineChars="200"/>
        <w:rPr>
          <w:rFonts w:ascii="宋体" w:hAnsi="宋体"/>
          <w:sz w:val="32"/>
          <w:szCs w:val="32"/>
        </w:rPr>
      </w:pPr>
      <w:r>
        <w:rPr>
          <w:rFonts w:hint="eastAsia" w:ascii="宋体" w:hAnsi="宋体"/>
          <w:sz w:val="32"/>
          <w:szCs w:val="32"/>
        </w:rPr>
        <w:t>九、其他格式附表</w:t>
      </w:r>
    </w:p>
    <w:p>
      <w:pPr>
        <w:ind w:firstLine="640" w:firstLineChars="200"/>
        <w:rPr>
          <w:rFonts w:ascii="宋体" w:hAnsi="宋体"/>
          <w:sz w:val="32"/>
          <w:szCs w:val="32"/>
        </w:rPr>
      </w:pPr>
    </w:p>
    <w:p>
      <w:pPr>
        <w:jc w:val="center"/>
        <w:rPr>
          <w:rFonts w:ascii="宋体" w:hAnsi="宋体"/>
          <w:b/>
          <w:sz w:val="24"/>
          <w:szCs w:val="24"/>
        </w:rPr>
      </w:pPr>
      <w:r>
        <w:rPr>
          <w:rFonts w:ascii="宋体" w:hAnsi="宋体"/>
          <w:b/>
          <w:sz w:val="32"/>
          <w:szCs w:val="32"/>
        </w:rPr>
        <w:br w:type="page"/>
      </w:r>
    </w:p>
    <w:p>
      <w:pPr>
        <w:spacing w:line="360" w:lineRule="auto"/>
        <w:rPr>
          <w:rFonts w:ascii="黑体" w:hAnsi="黑体" w:eastAsia="黑体"/>
          <w:sz w:val="28"/>
          <w:szCs w:val="28"/>
        </w:rPr>
      </w:pPr>
      <w:r>
        <w:rPr>
          <w:rFonts w:hint="eastAsia" w:ascii="黑体" w:hAnsi="黑体" w:eastAsia="黑体"/>
          <w:sz w:val="28"/>
          <w:szCs w:val="28"/>
        </w:rPr>
        <w:t>一、供应商情况说明</w:t>
      </w:r>
    </w:p>
    <w:p>
      <w:pPr>
        <w:snapToGrid w:val="0"/>
        <w:spacing w:line="360" w:lineRule="auto"/>
        <w:ind w:firstLine="480" w:firstLineChars="200"/>
        <w:rPr>
          <w:rFonts w:ascii="宋体" w:hAnsi="宋体"/>
          <w:sz w:val="24"/>
          <w:szCs w:val="24"/>
        </w:rPr>
      </w:pPr>
      <w:r>
        <w:rPr>
          <w:rFonts w:hint="eastAsia" w:ascii="宋体" w:hAnsi="宋体"/>
          <w:sz w:val="24"/>
          <w:szCs w:val="24"/>
        </w:rPr>
        <w:t>供应商简要情况介绍，含供应商规模、银行资信、技术能力及装备水平等、人员情况。供应商自行以文字形式说明。</w:t>
      </w:r>
    </w:p>
    <w:p>
      <w:pPr>
        <w:snapToGrid w:val="0"/>
        <w:spacing w:line="360" w:lineRule="auto"/>
        <w:rPr>
          <w:rFonts w:ascii="宋体" w:hAnsi="宋体"/>
          <w:sz w:val="24"/>
          <w:szCs w:val="24"/>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二、资格审查响应对照表</w:t>
      </w:r>
    </w:p>
    <w:tbl>
      <w:tblPr>
        <w:tblStyle w:val="32"/>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序号</w:t>
            </w:r>
          </w:p>
        </w:tc>
        <w:tc>
          <w:tcPr>
            <w:tcW w:w="5447"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资格审查响应内容</w:t>
            </w:r>
          </w:p>
        </w:tc>
        <w:tc>
          <w:tcPr>
            <w:tcW w:w="1953"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是否响应</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（填是或者否）</w:t>
            </w:r>
          </w:p>
        </w:tc>
        <w:tc>
          <w:tcPr>
            <w:tcW w:w="1785"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响应文件中</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Theme="minorEastAsia" w:hAnsiTheme="minorEastAsia"/>
                <w:b/>
                <w:sz w:val="24"/>
                <w:szCs w:val="24"/>
              </w:rPr>
            </w:pPr>
            <w:r>
              <w:rPr>
                <w:rFonts w:hint="eastAsia" w:asciiTheme="minorEastAsia" w:hAnsiTheme="minorEastAsia"/>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法定代表人资格证明书/法定代表人授权委托书</w:t>
            </w:r>
          </w:p>
        </w:tc>
        <w:tc>
          <w:tcPr>
            <w:tcW w:w="1953" w:type="dxa"/>
            <w:vAlign w:val="center"/>
          </w:tcPr>
          <w:p>
            <w:pPr>
              <w:rPr>
                <w:rFonts w:asciiTheme="minorEastAsia" w:hAnsiTheme="minorEastAsia"/>
                <w:b/>
                <w:sz w:val="24"/>
                <w:szCs w:val="24"/>
              </w:rPr>
            </w:pPr>
          </w:p>
        </w:tc>
        <w:tc>
          <w:tcPr>
            <w:tcW w:w="1785" w:type="dxa"/>
            <w:vAlign w:val="center"/>
          </w:tcPr>
          <w:p>
            <w:pP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具有独立承担民事责任能力的供应商营业执照或相关部门的登记证明文件复印件</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供应商近三个月中任意一个月份(不含报价当月)的财务状况报告（资产负债表和利润表）或由会计师事务所出具的近两年中任意一个年度的审计报告和所附已审财务报告（复印件，成立不满一年不需提供）</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供应商近三个月中任意一个月份(不含报价当月)的依法缴纳税收的相关材料（提供相关主管部门证明或银行代扣证明）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5447" w:type="dxa"/>
            <w:vAlign w:val="center"/>
          </w:tcPr>
          <w:p>
            <w:pPr>
              <w:snapToGrid w:val="0"/>
              <w:spacing w:line="0" w:lineRule="atLeast"/>
              <w:rPr>
                <w:rFonts w:asciiTheme="minorEastAsia" w:hAnsiTheme="minorEastAsia"/>
                <w:iCs/>
                <w:sz w:val="24"/>
                <w:szCs w:val="24"/>
              </w:rPr>
            </w:pPr>
            <w:r>
              <w:rPr>
                <w:rFonts w:hint="eastAsia" w:asciiTheme="minorEastAsia" w:hAnsiTheme="minorEastAsia"/>
                <w:iCs/>
                <w:sz w:val="24"/>
                <w:szCs w:val="24"/>
              </w:rPr>
              <w:t>供应商近三个月中任意一个月份(不含报价当月)的依法缴纳社会保障资金的相关材料（提供相关主管部门证明或银行代扣证明）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具备履行合同所必需的设备和专业技术能力的书面声明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参加政府采购活动前 3 年内在经营活动中没有重大违法记录的书面声明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9</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5447" w:type="dxa"/>
            <w:vAlign w:val="center"/>
          </w:tcPr>
          <w:p>
            <w:pPr>
              <w:snapToGrid w:val="0"/>
              <w:spacing w:line="0" w:lineRule="atLeast"/>
              <w:jc w:val="left"/>
              <w:rPr>
                <w:rFonts w:hint="eastAsia" w:asciiTheme="minorEastAsia" w:hAnsiTheme="minorEastAsia"/>
                <w:iCs/>
                <w:sz w:val="24"/>
                <w:szCs w:val="24"/>
              </w:rPr>
            </w:pPr>
            <w:r>
              <w:rPr>
                <w:rFonts w:hint="eastAsia" w:asciiTheme="minorEastAsia" w:hAnsiTheme="minorEastAsia"/>
                <w:iCs/>
                <w:sz w:val="24"/>
                <w:szCs w:val="24"/>
              </w:rPr>
              <w:t>投标人资格要求涉及的其它证明材料</w:t>
            </w:r>
            <w:r>
              <w:rPr>
                <w:rFonts w:hint="eastAsia" w:asciiTheme="minorEastAsia" w:hAnsiTheme="minorEastAsia"/>
                <w:iCs/>
                <w:sz w:val="24"/>
                <w:szCs w:val="24"/>
                <w:lang w:eastAsia="zh-CN"/>
              </w:rPr>
              <w:t>：</w:t>
            </w:r>
            <w:r>
              <w:rPr>
                <w:rFonts w:hint="eastAsia" w:asciiTheme="minorEastAsia" w:hAnsiTheme="minorEastAsia"/>
                <w:iCs/>
                <w:sz w:val="24"/>
                <w:szCs w:val="24"/>
                <w:lang w:val="en-US" w:eastAsia="zh-CN"/>
              </w:rPr>
              <w:t>详见第二章供应商须知“</w:t>
            </w:r>
            <w:r>
              <w:rPr>
                <w:rFonts w:hint="eastAsia" w:asciiTheme="minorEastAsia" w:hAnsiTheme="minorEastAsia"/>
                <w:iCs/>
                <w:sz w:val="24"/>
                <w:szCs w:val="24"/>
              </w:rPr>
              <w:t>资格、资信证明文件</w:t>
            </w:r>
            <w:r>
              <w:rPr>
                <w:rFonts w:hint="eastAsia" w:asciiTheme="minorEastAsia" w:hAnsiTheme="minorEastAsia"/>
                <w:iCs/>
                <w:sz w:val="24"/>
                <w:szCs w:val="24"/>
                <w:lang w:val="en-US" w:eastAsia="zh-CN"/>
              </w:rPr>
              <w:t>”</w:t>
            </w:r>
          </w:p>
        </w:tc>
        <w:tc>
          <w:tcPr>
            <w:tcW w:w="1953" w:type="dxa"/>
            <w:vAlign w:val="center"/>
          </w:tcPr>
          <w:p>
            <w:pPr>
              <w:snapToGrid w:val="0"/>
              <w:spacing w:line="0" w:lineRule="atLeast"/>
              <w:jc w:val="left"/>
              <w:rPr>
                <w:rFonts w:hint="eastAsia" w:asciiTheme="minorEastAsia" w:hAnsiTheme="minorEastAsia"/>
                <w:iCs/>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rPr>
            </w:pPr>
            <w:r>
              <w:rPr>
                <w:rFonts w:ascii="宋体" w:hAnsi="宋体"/>
              </w:rPr>
              <w:t>…</w:t>
            </w:r>
          </w:p>
        </w:tc>
        <w:tc>
          <w:tcPr>
            <w:tcW w:w="5447" w:type="dxa"/>
            <w:vAlign w:val="center"/>
          </w:tcPr>
          <w:p>
            <w:pPr>
              <w:snapToGrid w:val="0"/>
              <w:spacing w:line="0" w:lineRule="atLeast"/>
              <w:jc w:val="left"/>
              <w:rPr>
                <w:rFonts w:ascii="宋体" w:hAnsi="宋体"/>
                <w:sz w:val="24"/>
              </w:rPr>
            </w:pPr>
            <w:r>
              <w:rPr>
                <w:rFonts w:ascii="宋体" w:hAnsi="宋体"/>
                <w:sz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关于</w:t>
            </w:r>
            <w:r>
              <w:rPr>
                <w:rFonts w:hint="eastAsia" w:asciiTheme="minorEastAsia" w:hAnsiTheme="minorEastAsia"/>
                <w:iCs/>
                <w:sz w:val="24"/>
                <w:szCs w:val="24"/>
              </w:rPr>
              <w:t>资格的声明函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12</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响应函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sz w:val="24"/>
                <w:szCs w:val="24"/>
              </w:rPr>
            </w:pP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bl>
    <w:p>
      <w:pPr>
        <w:rPr>
          <w:rFonts w:hint="eastAsia" w:ascii="黑体" w:hAnsi="黑体" w:eastAsia="黑体"/>
          <w:sz w:val="28"/>
          <w:szCs w:val="28"/>
        </w:rPr>
      </w:pPr>
      <w:r>
        <w:rPr>
          <w:rFonts w:hint="eastAsia"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三、资格、资信证明文件</w:t>
      </w:r>
    </w:p>
    <w:p>
      <w:pPr>
        <w:snapToGrid w:val="0"/>
        <w:spacing w:line="360" w:lineRule="auto"/>
        <w:ind w:firstLine="480" w:firstLineChars="200"/>
        <w:rPr>
          <w:rFonts w:ascii="宋体" w:hAnsi="宋体"/>
          <w:sz w:val="24"/>
          <w:szCs w:val="20"/>
        </w:rPr>
      </w:pPr>
      <w:r>
        <w:rPr>
          <w:rFonts w:hint="eastAsia" w:ascii="宋体" w:hAnsi="宋体"/>
          <w:b/>
          <w:bCs/>
          <w:sz w:val="24"/>
          <w:szCs w:val="24"/>
        </w:rPr>
        <w:t>1、资格证明文件目录</w:t>
      </w:r>
    </w:p>
    <w:p>
      <w:pPr>
        <w:snapToGrid w:val="0"/>
        <w:spacing w:line="360" w:lineRule="auto"/>
        <w:ind w:firstLine="480" w:firstLineChars="200"/>
        <w:rPr>
          <w:rFonts w:ascii="宋体" w:hAnsi="宋体" w:cs="Arial"/>
          <w:sz w:val="24"/>
          <w:szCs w:val="24"/>
        </w:rPr>
      </w:pPr>
      <w:r>
        <w:rPr>
          <w:rFonts w:hint="eastAsia" w:ascii="宋体" w:hAnsi="宋体"/>
          <w:b/>
          <w:sz w:val="24"/>
          <w:szCs w:val="24"/>
        </w:rPr>
        <w:t xml:space="preserve">文件1  </w:t>
      </w:r>
      <w:r>
        <w:rPr>
          <w:rFonts w:hint="eastAsia" w:ascii="宋体" w:hAnsi="宋体" w:cs="Arial"/>
          <w:sz w:val="24"/>
          <w:szCs w:val="24"/>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ascii="宋体" w:hAnsi="宋体" w:cs="Arial"/>
          <w:sz w:val="24"/>
          <w:szCs w:val="24"/>
        </w:rPr>
      </w:pPr>
      <w:r>
        <w:rPr>
          <w:rFonts w:hint="eastAsia" w:ascii="宋体" w:hAnsi="宋体"/>
          <w:b/>
          <w:sz w:val="24"/>
          <w:szCs w:val="24"/>
        </w:rPr>
        <w:t xml:space="preserve">文件2 </w:t>
      </w:r>
      <w:r>
        <w:rPr>
          <w:rFonts w:hint="eastAsia" w:ascii="宋体" w:hAnsi="宋体"/>
          <w:sz w:val="24"/>
          <w:szCs w:val="24"/>
        </w:rPr>
        <w:t xml:space="preserve"> 供应商近三个月中任意一个月份(不含报价当月)的财务状况报告（资产负债表和利润表）或由会计师事务所出具的近两年中任意一个年度的审计报告和所附已审财务报告（复印件，</w:t>
      </w:r>
      <w:r>
        <w:rPr>
          <w:rFonts w:hint="eastAsia" w:ascii="宋体" w:hAnsi="宋体" w:cs="Arial"/>
          <w:sz w:val="24"/>
          <w:szCs w:val="24"/>
        </w:rPr>
        <w:t>如投标人组成联合体投标，参加联合体的各方均需提供，</w:t>
      </w:r>
      <w:r>
        <w:rPr>
          <w:rFonts w:hint="eastAsia" w:ascii="宋体" w:hAnsi="宋体"/>
          <w:sz w:val="24"/>
          <w:szCs w:val="24"/>
        </w:rPr>
        <w:t>成立不满一年不需提供）</w:t>
      </w:r>
    </w:p>
    <w:p>
      <w:pPr>
        <w:snapToGrid w:val="0"/>
        <w:spacing w:line="360" w:lineRule="auto"/>
        <w:ind w:firstLine="480" w:firstLineChars="200"/>
        <w:rPr>
          <w:rFonts w:ascii="宋体" w:hAnsi="宋体" w:cs="Arial"/>
          <w:sz w:val="24"/>
          <w:szCs w:val="24"/>
        </w:rPr>
      </w:pPr>
      <w:r>
        <w:rPr>
          <w:rFonts w:hint="eastAsia" w:ascii="宋体" w:hAnsi="宋体"/>
          <w:b/>
          <w:sz w:val="24"/>
          <w:szCs w:val="24"/>
        </w:rPr>
        <w:t xml:space="preserve">文件3 </w:t>
      </w:r>
      <w:r>
        <w:rPr>
          <w:rFonts w:hint="eastAsia" w:ascii="宋体" w:hAnsi="宋体"/>
          <w:sz w:val="24"/>
          <w:szCs w:val="24"/>
        </w:rPr>
        <w:t xml:space="preserve"> 供应商近三个月中任意一个月份(不含报价当月)的</w:t>
      </w:r>
      <w:r>
        <w:rPr>
          <w:rFonts w:hint="eastAsia" w:ascii="宋体" w:hAnsi="宋体" w:cs="Arial"/>
          <w:sz w:val="24"/>
          <w:szCs w:val="24"/>
        </w:rPr>
        <w:t>依法缴纳税收和社会保障资金的相关材料（复印件，如投标人组成联合体投标，参加联合体的各方均需提供）</w:t>
      </w:r>
    </w:p>
    <w:p>
      <w:pPr>
        <w:snapToGrid w:val="0"/>
        <w:spacing w:line="360" w:lineRule="auto"/>
        <w:ind w:firstLine="480" w:firstLineChars="200"/>
        <w:jc w:val="left"/>
        <w:rPr>
          <w:rFonts w:ascii="宋体" w:hAnsi="宋体"/>
          <w:b/>
          <w:sz w:val="24"/>
          <w:szCs w:val="24"/>
        </w:rPr>
      </w:pPr>
      <w:r>
        <w:rPr>
          <w:rFonts w:hint="eastAsia" w:ascii="宋体" w:hAnsi="宋体"/>
          <w:b/>
          <w:sz w:val="24"/>
          <w:szCs w:val="24"/>
        </w:rPr>
        <w:t xml:space="preserve">文件4  </w:t>
      </w:r>
      <w:r>
        <w:rPr>
          <w:rFonts w:hint="eastAsia" w:ascii="宋体" w:hAnsi="宋体" w:cs="Arial"/>
          <w:sz w:val="24"/>
          <w:szCs w:val="24"/>
        </w:rPr>
        <w:t>具备履行合同所必需的设备和专业技术能力的书面声明（如投标人组成联合体投标，参加联合体的各方均需提供）</w:t>
      </w:r>
    </w:p>
    <w:p>
      <w:pPr>
        <w:snapToGrid w:val="0"/>
        <w:spacing w:line="360" w:lineRule="auto"/>
        <w:ind w:firstLine="480" w:firstLineChars="200"/>
        <w:rPr>
          <w:rFonts w:ascii="宋体" w:hAnsi="宋体" w:cs="Arial"/>
          <w:sz w:val="24"/>
          <w:szCs w:val="24"/>
        </w:rPr>
      </w:pPr>
      <w:r>
        <w:rPr>
          <w:rFonts w:hint="eastAsia" w:ascii="宋体" w:hAnsi="宋体"/>
          <w:b/>
          <w:sz w:val="24"/>
          <w:szCs w:val="24"/>
        </w:rPr>
        <w:t xml:space="preserve">文件5  </w:t>
      </w:r>
      <w:r>
        <w:rPr>
          <w:rFonts w:hint="eastAsia" w:ascii="宋体" w:hAnsi="宋体" w:cs="Arial"/>
          <w:sz w:val="24"/>
          <w:szCs w:val="24"/>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ascii="宋体" w:hAnsi="宋体"/>
          <w:sz w:val="24"/>
          <w:szCs w:val="24"/>
        </w:rPr>
      </w:pPr>
      <w:r>
        <w:rPr>
          <w:rFonts w:hint="eastAsia" w:ascii="宋体" w:hAnsi="宋体"/>
          <w:b/>
          <w:sz w:val="24"/>
          <w:szCs w:val="24"/>
        </w:rPr>
        <w:t xml:space="preserve">文件6  </w:t>
      </w:r>
      <w:r>
        <w:rPr>
          <w:rFonts w:hint="eastAsia" w:ascii="宋体" w:hAnsi="宋体"/>
          <w:sz w:val="24"/>
          <w:szCs w:val="24"/>
        </w:rPr>
        <w:t>响应函（原件，</w:t>
      </w:r>
      <w:r>
        <w:rPr>
          <w:rFonts w:hint="eastAsia" w:ascii="宋体" w:hAnsi="宋体" w:cs="Arial"/>
          <w:sz w:val="24"/>
          <w:szCs w:val="24"/>
        </w:rPr>
        <w:t>如投标人组成联合体投标，参加联合体的各方均需</w:t>
      </w:r>
      <w:r>
        <w:rPr>
          <w:rFonts w:hint="eastAsia" w:ascii="宋体" w:hAnsi="宋体"/>
          <w:sz w:val="24"/>
          <w:szCs w:val="24"/>
        </w:rPr>
        <w:t>加盖公章）</w:t>
      </w:r>
    </w:p>
    <w:p>
      <w:pPr>
        <w:snapToGrid w:val="0"/>
        <w:spacing w:line="360" w:lineRule="auto"/>
        <w:ind w:firstLine="480" w:firstLineChars="200"/>
        <w:jc w:val="left"/>
        <w:rPr>
          <w:rFonts w:ascii="宋体" w:hAnsi="宋体"/>
          <w:b/>
          <w:sz w:val="24"/>
          <w:szCs w:val="24"/>
        </w:rPr>
      </w:pPr>
      <w:r>
        <w:rPr>
          <w:rFonts w:hint="eastAsia" w:ascii="宋体" w:hAnsi="宋体"/>
          <w:b/>
          <w:sz w:val="24"/>
          <w:szCs w:val="24"/>
        </w:rPr>
        <w:t xml:space="preserve">文件7  </w:t>
      </w:r>
      <w:r>
        <w:rPr>
          <w:rFonts w:hint="eastAsia" w:ascii="宋体" w:hAnsi="宋体"/>
          <w:sz w:val="24"/>
          <w:szCs w:val="24"/>
        </w:rPr>
        <w:t>法定代表人资格证明书（原件，</w:t>
      </w:r>
      <w:r>
        <w:rPr>
          <w:rFonts w:hint="eastAsia" w:ascii="宋体" w:hAnsi="宋体" w:cs="Arial"/>
          <w:sz w:val="24"/>
          <w:szCs w:val="24"/>
        </w:rPr>
        <w:t>如投标人组成联合体投标，参加联合体的各方均需</w:t>
      </w:r>
      <w:r>
        <w:rPr>
          <w:rFonts w:hint="eastAsia" w:ascii="宋体" w:hAnsi="宋体"/>
          <w:sz w:val="24"/>
          <w:szCs w:val="24"/>
        </w:rPr>
        <w:t>加盖公章）或法人授权委托书（原件，</w:t>
      </w:r>
      <w:r>
        <w:rPr>
          <w:rFonts w:hint="eastAsia" w:ascii="宋体" w:hAnsi="宋体" w:cs="Arial"/>
          <w:sz w:val="24"/>
          <w:szCs w:val="24"/>
        </w:rPr>
        <w:t>如投标人组成联合体投标，参加联合体的各方均需</w:t>
      </w:r>
      <w:r>
        <w:rPr>
          <w:rFonts w:hint="eastAsia" w:ascii="宋体" w:hAnsi="宋体"/>
          <w:sz w:val="24"/>
          <w:szCs w:val="24"/>
        </w:rPr>
        <w:t>加盖公章）</w:t>
      </w:r>
    </w:p>
    <w:p>
      <w:pPr>
        <w:snapToGrid w:val="0"/>
        <w:spacing w:line="360" w:lineRule="auto"/>
        <w:ind w:firstLine="480" w:firstLineChars="200"/>
        <w:jc w:val="left"/>
        <w:rPr>
          <w:rFonts w:ascii="宋体" w:hAnsi="宋体"/>
          <w:sz w:val="24"/>
          <w:szCs w:val="24"/>
        </w:rPr>
      </w:pPr>
      <w:r>
        <w:rPr>
          <w:rFonts w:hint="eastAsia" w:ascii="宋体" w:hAnsi="宋体"/>
          <w:b/>
          <w:sz w:val="24"/>
          <w:szCs w:val="24"/>
        </w:rPr>
        <w:t xml:space="preserve">文件8  </w:t>
      </w:r>
      <w:r>
        <w:rPr>
          <w:rFonts w:hint="eastAsia" w:ascii="宋体" w:hAnsi="宋体"/>
          <w:sz w:val="24"/>
          <w:szCs w:val="24"/>
        </w:rPr>
        <w:t>联合体协议（以联合体形式参加投标的提供，</w:t>
      </w:r>
      <w:r>
        <w:rPr>
          <w:rFonts w:hint="eastAsia" w:ascii="宋体" w:hAnsi="宋体" w:cs="Arial"/>
          <w:sz w:val="24"/>
          <w:szCs w:val="24"/>
        </w:rPr>
        <w:t>参加联合体的各方均需</w:t>
      </w:r>
      <w:r>
        <w:rPr>
          <w:rFonts w:hint="eastAsia" w:ascii="宋体" w:hAnsi="宋体"/>
          <w:sz w:val="24"/>
          <w:szCs w:val="24"/>
        </w:rPr>
        <w:t>加盖公章</w:t>
      </w:r>
      <w:r>
        <w:rPr>
          <w:rFonts w:hint="eastAsia" w:ascii="宋体" w:hAnsi="宋体" w:cs="Arial"/>
          <w:sz w:val="24"/>
          <w:szCs w:val="24"/>
        </w:rPr>
        <w:t>，</w:t>
      </w:r>
      <w:r>
        <w:rPr>
          <w:rFonts w:hint="eastAsia" w:ascii="宋体" w:hAnsi="宋体"/>
          <w:sz w:val="24"/>
          <w:szCs w:val="24"/>
        </w:rPr>
        <w:t>原件）</w:t>
      </w:r>
    </w:p>
    <w:p>
      <w:pPr>
        <w:snapToGrid w:val="0"/>
        <w:spacing w:line="360" w:lineRule="auto"/>
        <w:ind w:firstLine="480" w:firstLineChars="200"/>
        <w:jc w:val="left"/>
        <w:rPr>
          <w:rFonts w:ascii="宋体" w:hAnsi="宋体"/>
          <w:sz w:val="24"/>
          <w:szCs w:val="24"/>
        </w:rPr>
      </w:pPr>
      <w:r>
        <w:rPr>
          <w:rFonts w:hint="eastAsia" w:ascii="宋体" w:hAnsi="宋体"/>
          <w:b/>
          <w:sz w:val="24"/>
          <w:szCs w:val="24"/>
        </w:rPr>
        <w:t xml:space="preserve">文件9  </w:t>
      </w:r>
      <w:r>
        <w:rPr>
          <w:rFonts w:hint="eastAsia" w:ascii="宋体" w:hAnsi="宋体"/>
          <w:sz w:val="24"/>
          <w:szCs w:val="24"/>
        </w:rPr>
        <w:t>本项目投标人资格要求涉及的其它证明材料（</w:t>
      </w:r>
      <w:r>
        <w:rPr>
          <w:rFonts w:hint="eastAsia" w:ascii="宋体" w:hAnsi="宋体"/>
          <w:sz w:val="24"/>
          <w:szCs w:val="24"/>
          <w:lang w:val="en-US" w:eastAsia="zh-CN"/>
        </w:rPr>
        <w:t>详见第二章供应商须知“资格、资信证明文件”</w:t>
      </w:r>
      <w:r>
        <w:rPr>
          <w:rFonts w:hint="eastAsia" w:ascii="宋体" w:hAnsi="宋体"/>
          <w:sz w:val="24"/>
          <w:szCs w:val="24"/>
        </w:rPr>
        <w:t>）</w:t>
      </w:r>
    </w:p>
    <w:p>
      <w:pPr>
        <w:snapToGrid w:val="0"/>
        <w:spacing w:line="360" w:lineRule="auto"/>
        <w:ind w:firstLine="480" w:firstLineChars="200"/>
        <w:jc w:val="left"/>
        <w:rPr>
          <w:rFonts w:ascii="宋体" w:hAnsi="宋体"/>
          <w:sz w:val="24"/>
          <w:szCs w:val="24"/>
        </w:rPr>
      </w:pPr>
      <w:r>
        <w:rPr>
          <w:rFonts w:hint="eastAsia" w:ascii="宋体" w:hAnsi="宋体"/>
          <w:sz w:val="24"/>
          <w:szCs w:val="24"/>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b/>
          <w:bCs/>
          <w:sz w:val="24"/>
        </w:rPr>
      </w:pPr>
    </w:p>
    <w:p>
      <w:pPr>
        <w:snapToGrid w:val="0"/>
        <w:spacing w:line="360" w:lineRule="auto"/>
        <w:ind w:firstLine="480" w:firstLineChars="200"/>
        <w:rPr>
          <w:rFonts w:ascii="宋体" w:hAnsi="宋体"/>
          <w:b/>
          <w:bCs/>
          <w:sz w:val="24"/>
          <w:szCs w:val="24"/>
        </w:rPr>
      </w:pPr>
      <w:r>
        <w:rPr>
          <w:rFonts w:hint="eastAsia" w:ascii="宋体" w:hAnsi="宋体"/>
          <w:b/>
          <w:bCs/>
          <w:sz w:val="24"/>
          <w:szCs w:val="24"/>
        </w:rPr>
        <w:t>2、非实质性资信证明文件目录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格式1 《中小企业声明函》</w:t>
      </w:r>
      <w:r>
        <w:rPr>
          <w:rFonts w:hint="eastAsia" w:ascii="宋体" w:hAnsi="宋体" w:eastAsia="宋体" w:cs="Times New Roman"/>
          <w:b/>
          <w:sz w:val="24"/>
          <w:szCs w:val="24"/>
        </w:rPr>
        <w:t>（格式见附件）</w:t>
      </w:r>
    </w:p>
    <w:p>
      <w:pPr>
        <w:spacing w:line="360" w:lineRule="auto"/>
        <w:ind w:firstLine="480" w:firstLineChars="200"/>
        <w:rPr>
          <w:rFonts w:ascii="宋体" w:hAnsi="宋体"/>
          <w:sz w:val="24"/>
          <w:szCs w:val="24"/>
        </w:rPr>
      </w:pPr>
      <w:r>
        <w:rPr>
          <w:rFonts w:hint="eastAsia" w:ascii="宋体" w:hAnsi="宋体"/>
          <w:sz w:val="24"/>
          <w:szCs w:val="24"/>
        </w:rPr>
        <w:t>格式2 《残疾人福利性单位声明函》</w:t>
      </w:r>
      <w:r>
        <w:rPr>
          <w:rFonts w:hint="eastAsia" w:ascii="宋体" w:hAnsi="宋体"/>
          <w:b/>
          <w:sz w:val="24"/>
          <w:szCs w:val="24"/>
        </w:rPr>
        <w:t>（格式见附件）</w:t>
      </w:r>
    </w:p>
    <w:p>
      <w:pPr>
        <w:rPr>
          <w:rFonts w:ascii="宋体" w:hAnsi="宋体"/>
          <w:bCs/>
          <w:sz w:val="24"/>
        </w:rPr>
      </w:pPr>
      <w:r>
        <w:rPr>
          <w:rFonts w:ascii="黑体" w:hAnsi="黑体" w:eastAsia="黑体"/>
          <w:b/>
          <w:sz w:val="32"/>
          <w:szCs w:val="32"/>
        </w:rPr>
        <w:br w:type="page"/>
      </w:r>
    </w:p>
    <w:p>
      <w:pPr>
        <w:spacing w:line="580" w:lineRule="exact"/>
        <w:rPr>
          <w:rFonts w:ascii="黑体" w:hAnsi="黑体" w:eastAsia="黑体"/>
          <w:bCs/>
          <w:color w:val="000000" w:themeColor="text1"/>
          <w:sz w:val="28"/>
          <w:szCs w:val="28"/>
        </w:rPr>
      </w:pPr>
      <w:r>
        <w:rPr>
          <w:rFonts w:hint="eastAsia" w:ascii="黑体" w:hAnsi="黑体" w:eastAsia="黑体"/>
          <w:sz w:val="28"/>
          <w:szCs w:val="28"/>
        </w:rPr>
        <w:t>四、</w:t>
      </w:r>
      <w:r>
        <w:rPr>
          <w:rFonts w:hint="eastAsia" w:ascii="黑体" w:hAnsi="黑体" w:eastAsia="黑体"/>
          <w:bCs/>
          <w:color w:val="000000" w:themeColor="text1"/>
          <w:sz w:val="28"/>
          <w:szCs w:val="28"/>
        </w:rPr>
        <w:t>报价一览表</w:t>
      </w:r>
    </w:p>
    <w:p>
      <w:pPr>
        <w:spacing w:line="360" w:lineRule="auto"/>
        <w:rPr>
          <w:rFonts w:ascii="黑体" w:eastAsia="黑体"/>
          <w:bCs/>
          <w:color w:val="000000" w:themeColor="text1"/>
          <w:sz w:val="24"/>
          <w:szCs w:val="24"/>
        </w:rPr>
      </w:pPr>
    </w:p>
    <w:p>
      <w:pPr>
        <w:spacing w:line="360" w:lineRule="auto"/>
        <w:rPr>
          <w:rFonts w:ascii="黑体" w:eastAsia="黑体"/>
          <w:bCs/>
          <w:color w:val="000000" w:themeColor="text1"/>
          <w:sz w:val="24"/>
          <w:szCs w:val="24"/>
        </w:rPr>
      </w:pPr>
      <w:r>
        <w:rPr>
          <w:rFonts w:hint="eastAsia" w:ascii="黑体" w:eastAsia="黑体"/>
          <w:bCs/>
          <w:color w:val="000000" w:themeColor="text1"/>
          <w:sz w:val="24"/>
          <w:szCs w:val="24"/>
        </w:rPr>
        <w:t>供应商名称（盖章）：</w:t>
      </w:r>
    </w:p>
    <w:p>
      <w:pPr>
        <w:spacing w:line="360" w:lineRule="auto"/>
        <w:rPr>
          <w:rFonts w:ascii="黑体" w:eastAsia="黑体"/>
          <w:bCs/>
          <w:color w:val="000000" w:themeColor="text1"/>
          <w:sz w:val="24"/>
          <w:szCs w:val="24"/>
          <w:u w:val="single"/>
        </w:rPr>
      </w:pPr>
      <w:r>
        <w:rPr>
          <w:rFonts w:hint="eastAsia" w:ascii="黑体" w:eastAsia="黑体"/>
          <w:bCs/>
          <w:color w:val="000000" w:themeColor="text1"/>
          <w:sz w:val="24"/>
          <w:szCs w:val="24"/>
        </w:rPr>
        <w:t>采购项目编号：</w:t>
      </w:r>
    </w:p>
    <w:p>
      <w:pPr>
        <w:spacing w:line="360" w:lineRule="auto"/>
        <w:rPr>
          <w:rFonts w:ascii="黑体" w:eastAsia="黑体"/>
          <w:bCs/>
          <w:color w:val="000000" w:themeColor="text1"/>
          <w:sz w:val="24"/>
          <w:szCs w:val="24"/>
        </w:rPr>
      </w:pPr>
    </w:p>
    <w:tbl>
      <w:tblPr>
        <w:tblStyle w:val="32"/>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7"/>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207" w:type="dxa"/>
            <w:vAlign w:val="center"/>
          </w:tcPr>
          <w:p>
            <w:pPr>
              <w:autoSpaceDE w:val="0"/>
              <w:autoSpaceDN w:val="0"/>
              <w:adjustRightInd w:val="0"/>
              <w:jc w:val="center"/>
              <w:rPr>
                <w:rFonts w:ascii="宋体"/>
                <w:b/>
                <w:bCs/>
                <w:color w:val="000000" w:themeColor="text1"/>
                <w:sz w:val="24"/>
                <w:szCs w:val="24"/>
              </w:rPr>
            </w:pPr>
            <w:r>
              <w:rPr>
                <w:rFonts w:hint="eastAsia" w:ascii="宋体" w:hAnsi="宋体"/>
                <w:b/>
                <w:bCs/>
                <w:color w:val="000000" w:themeColor="text1"/>
                <w:sz w:val="24"/>
                <w:szCs w:val="24"/>
              </w:rPr>
              <w:t>项目名称</w:t>
            </w:r>
          </w:p>
        </w:tc>
        <w:tc>
          <w:tcPr>
            <w:tcW w:w="4873" w:type="dxa"/>
            <w:vAlign w:val="center"/>
          </w:tcPr>
          <w:p>
            <w:pPr>
              <w:autoSpaceDE w:val="0"/>
              <w:autoSpaceDN w:val="0"/>
              <w:adjustRightInd w:val="0"/>
              <w:jc w:val="center"/>
              <w:rPr>
                <w:rFonts w:ascii="宋体"/>
                <w:b/>
                <w:bCs/>
                <w:color w:val="000000" w:themeColor="text1"/>
                <w:sz w:val="24"/>
                <w:szCs w:val="24"/>
              </w:rPr>
            </w:pPr>
            <w:r>
              <w:rPr>
                <w:rFonts w:hint="eastAsia" w:ascii="宋体" w:hAnsi="宋体"/>
                <w:b/>
                <w:bCs/>
                <w:color w:val="000000" w:themeColor="text1"/>
                <w:sz w:val="24"/>
                <w:szCs w:val="24"/>
              </w:rPr>
              <w:t>总报价</w:t>
            </w:r>
            <w:r>
              <w:rPr>
                <w:rFonts w:ascii="宋体" w:hAnsi="宋体"/>
                <w:b/>
                <w:bCs/>
                <w:color w:val="000000" w:themeColor="text1"/>
                <w:sz w:val="24"/>
                <w:szCs w:val="24"/>
              </w:rPr>
              <w:t>(</w:t>
            </w:r>
            <w:r>
              <w:rPr>
                <w:rFonts w:hint="eastAsia" w:ascii="宋体" w:hAnsi="宋体"/>
                <w:b/>
                <w:bCs/>
                <w:color w:val="000000" w:themeColor="text1"/>
                <w:sz w:val="24"/>
                <w:szCs w:val="24"/>
              </w:rPr>
              <w:t>小写</w:t>
            </w:r>
            <w:r>
              <w:rPr>
                <w:rFonts w:ascii="宋体" w:hAnsi="宋体"/>
                <w:b/>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207" w:type="dxa"/>
            <w:vAlign w:val="center"/>
          </w:tcPr>
          <w:p>
            <w:pPr>
              <w:spacing w:line="400" w:lineRule="exact"/>
              <w:jc w:val="center"/>
              <w:rPr>
                <w:rFonts w:ascii="宋体" w:hAnsi="宋体" w:eastAsia="宋体" w:cs="Times New Roman"/>
                <w:bCs/>
                <w:color w:val="000000" w:themeColor="text1"/>
                <w:kern w:val="0"/>
                <w:sz w:val="24"/>
                <w:szCs w:val="24"/>
                <w:u w:color="000000"/>
              </w:rPr>
            </w:pPr>
          </w:p>
        </w:tc>
        <w:tc>
          <w:tcPr>
            <w:tcW w:w="4873" w:type="dxa"/>
            <w:vAlign w:val="center"/>
          </w:tcPr>
          <w:p>
            <w:pPr>
              <w:rPr>
                <w:rFonts w:ascii="宋体" w:hAnsi="宋体" w:eastAsia="宋体" w:cs="Times New Roman"/>
                <w:b/>
                <w:color w:val="000000" w:themeColor="text1"/>
                <w:kern w:val="0"/>
                <w:sz w:val="24"/>
                <w:szCs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Theme="minorEastAsia" w:hAnsiTheme="minorEastAsia"/>
                <w:bCs/>
                <w:color w:val="000000" w:themeColor="text1"/>
                <w:sz w:val="24"/>
                <w:szCs w:val="24"/>
              </w:rPr>
            </w:pPr>
            <w:r>
              <w:rPr>
                <w:rFonts w:hint="eastAsia" w:asciiTheme="minorEastAsia" w:hAnsiTheme="minorEastAsia"/>
                <w:color w:val="000000" w:themeColor="text1"/>
                <w:sz w:val="24"/>
              </w:rPr>
              <w:t>总报价（大写）</w:t>
            </w:r>
            <w:r>
              <w:rPr>
                <w:rFonts w:hint="eastAsia" w:asciiTheme="minorEastAsia" w:hAnsiTheme="minorEastAsia"/>
                <w:bCs/>
                <w:color w:val="000000" w:themeColor="text1"/>
                <w:kern w:val="0"/>
                <w:sz w:val="24"/>
                <w:szCs w:val="24"/>
                <w:u w:color="000000"/>
              </w:rPr>
              <w:t>：　　　</w:t>
            </w:r>
          </w:p>
        </w:tc>
      </w:tr>
    </w:tbl>
    <w:p>
      <w:pPr>
        <w:spacing w:before="5"/>
        <w:rPr>
          <w:b/>
          <w:bCs/>
          <w:color w:val="000000" w:themeColor="text1"/>
          <w:sz w:val="24"/>
          <w:szCs w:val="24"/>
        </w:rPr>
      </w:pPr>
    </w:p>
    <w:p>
      <w:pPr>
        <w:spacing w:before="5"/>
        <w:rPr>
          <w:b/>
          <w:bCs/>
          <w:color w:val="000000" w:themeColor="text1"/>
          <w:sz w:val="24"/>
          <w:szCs w:val="24"/>
        </w:rPr>
      </w:pPr>
    </w:p>
    <w:p>
      <w:pPr>
        <w:spacing w:before="5"/>
        <w:rPr>
          <w:b/>
          <w:bCs/>
          <w:color w:val="000000" w:themeColor="text1"/>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p>
    <w:p>
      <w:pPr>
        <w:spacing w:line="400" w:lineRule="exact"/>
        <w:rPr>
          <w:rFonts w:ascii="黑体" w:eastAsia="黑体"/>
          <w:bCs/>
          <w:color w:val="000000" w:themeColor="text1"/>
          <w:sz w:val="32"/>
        </w:rPr>
      </w:pPr>
    </w:p>
    <w:p>
      <w:pPr>
        <w:rPr>
          <w:rFonts w:ascii="黑体" w:hAnsi="黑体" w:eastAsia="黑体"/>
          <w:sz w:val="28"/>
          <w:szCs w:val="28"/>
        </w:rPr>
      </w:pPr>
      <w:r>
        <w:rPr>
          <w:rFonts w:ascii="宋体" w:hAnsi="宋体"/>
          <w:b/>
          <w:sz w:val="44"/>
        </w:rPr>
        <w:br w:type="page"/>
      </w:r>
      <w:r>
        <w:rPr>
          <w:rFonts w:hint="eastAsia" w:ascii="黑体" w:hAnsi="黑体" w:eastAsia="黑体"/>
          <w:sz w:val="28"/>
          <w:szCs w:val="28"/>
        </w:rPr>
        <w:t>五、明细报价表</w:t>
      </w:r>
    </w:p>
    <w:p>
      <w:pPr>
        <w:spacing w:line="400" w:lineRule="exact"/>
        <w:rPr>
          <w:rFonts w:asciiTheme="minorEastAsia" w:hAnsiTheme="minorEastAsia"/>
          <w:bCs/>
          <w:color w:val="000000" w:themeColor="text1"/>
          <w:sz w:val="24"/>
          <w:szCs w:val="24"/>
          <w:u w:val="single"/>
        </w:rPr>
      </w:pPr>
      <w:r>
        <w:rPr>
          <w:rFonts w:hint="eastAsia" w:asciiTheme="minorEastAsia" w:hAnsiTheme="minorEastAsia"/>
          <w:bCs/>
          <w:color w:val="000000" w:themeColor="text1"/>
          <w:sz w:val="24"/>
          <w:szCs w:val="24"/>
        </w:rPr>
        <w:t>供应商名称（盖章）：     采购项目编号：</w:t>
      </w:r>
    </w:p>
    <w:p>
      <w:pPr>
        <w:spacing w:line="400" w:lineRule="exact"/>
        <w:rPr>
          <w:rFonts w:ascii="黑体" w:eastAsia="黑体"/>
          <w:bCs/>
          <w:color w:val="000000" w:themeColor="text1"/>
          <w:sz w:val="24"/>
          <w:szCs w:val="24"/>
        </w:rPr>
      </w:pPr>
    </w:p>
    <w:tbl>
      <w:tblPr>
        <w:tblStyle w:val="32"/>
        <w:tblW w:w="10318"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210"/>
        <w:gridCol w:w="782"/>
        <w:gridCol w:w="1134"/>
        <w:gridCol w:w="2914"/>
        <w:gridCol w:w="31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710" w:type="dxa"/>
            <w:noWrap/>
            <w:tcMar>
              <w:top w:w="15" w:type="dxa"/>
              <w:left w:w="15" w:type="dxa"/>
              <w:bottom w:w="0" w:type="dxa"/>
              <w:right w:w="15" w:type="dxa"/>
            </w:tcMar>
            <w:vAlign w:val="center"/>
          </w:tcPr>
          <w:p>
            <w:pPr>
              <w:spacing w:before="5"/>
              <w:jc w:val="center"/>
              <w:rPr>
                <w:color w:val="000000" w:themeColor="text1"/>
                <w:sz w:val="24"/>
                <w:szCs w:val="24"/>
              </w:rPr>
            </w:pPr>
            <w:r>
              <w:rPr>
                <w:rFonts w:hint="eastAsia"/>
                <w:color w:val="000000" w:themeColor="text1"/>
                <w:sz w:val="24"/>
                <w:szCs w:val="24"/>
              </w:rPr>
              <w:t>序号</w:t>
            </w:r>
          </w:p>
        </w:tc>
        <w:tc>
          <w:tcPr>
            <w:tcW w:w="992" w:type="dxa"/>
            <w:gridSpan w:val="2"/>
            <w:noWrap/>
            <w:tcMar>
              <w:top w:w="15" w:type="dxa"/>
              <w:left w:w="15" w:type="dxa"/>
              <w:bottom w:w="0" w:type="dxa"/>
              <w:right w:w="15" w:type="dxa"/>
            </w:tcMar>
            <w:vAlign w:val="center"/>
          </w:tcPr>
          <w:p>
            <w:pPr>
              <w:spacing w:before="5"/>
              <w:jc w:val="center"/>
              <w:rPr>
                <w:color w:val="000000" w:themeColor="text1"/>
                <w:sz w:val="24"/>
                <w:szCs w:val="24"/>
                <w:u w:color="FF0000"/>
              </w:rPr>
            </w:pPr>
            <w:r>
              <w:rPr>
                <w:rFonts w:hint="eastAsia"/>
                <w:color w:val="000000" w:themeColor="text1"/>
                <w:sz w:val="24"/>
                <w:szCs w:val="24"/>
              </w:rPr>
              <w:t>名称</w:t>
            </w:r>
          </w:p>
        </w:tc>
        <w:tc>
          <w:tcPr>
            <w:tcW w:w="1134" w:type="dxa"/>
            <w:noWrap/>
            <w:tcMar>
              <w:top w:w="15" w:type="dxa"/>
              <w:left w:w="15" w:type="dxa"/>
              <w:bottom w:w="0" w:type="dxa"/>
              <w:right w:w="15" w:type="dxa"/>
            </w:tcMar>
            <w:vAlign w:val="center"/>
          </w:tcPr>
          <w:p>
            <w:pPr>
              <w:spacing w:before="5"/>
              <w:jc w:val="center"/>
              <w:rPr>
                <w:color w:val="000000" w:themeColor="text1"/>
                <w:sz w:val="24"/>
                <w:szCs w:val="24"/>
                <w:u w:color="FF0000"/>
              </w:rPr>
            </w:pPr>
            <w:r>
              <w:rPr>
                <w:rFonts w:hint="eastAsia"/>
                <w:color w:val="000000" w:themeColor="text1"/>
                <w:sz w:val="24"/>
                <w:szCs w:val="24"/>
                <w:u w:color="FF0000"/>
              </w:rPr>
              <w:t>品牌型号</w:t>
            </w:r>
          </w:p>
        </w:tc>
        <w:tc>
          <w:tcPr>
            <w:tcW w:w="2914" w:type="dxa"/>
            <w:noWrap/>
            <w:tcMar>
              <w:top w:w="15" w:type="dxa"/>
              <w:left w:w="15" w:type="dxa"/>
              <w:bottom w:w="0" w:type="dxa"/>
              <w:right w:w="15" w:type="dxa"/>
            </w:tcMar>
            <w:vAlign w:val="center"/>
          </w:tcPr>
          <w:p>
            <w:pPr>
              <w:spacing w:before="5"/>
              <w:jc w:val="center"/>
              <w:rPr>
                <w:color w:val="000000" w:themeColor="text1"/>
                <w:sz w:val="24"/>
                <w:szCs w:val="24"/>
              </w:rPr>
            </w:pPr>
            <w:r>
              <w:rPr>
                <w:rFonts w:hint="eastAsia"/>
                <w:color w:val="000000" w:themeColor="text1"/>
                <w:sz w:val="24"/>
                <w:szCs w:val="24"/>
                <w:u w:color="FF0000"/>
              </w:rPr>
              <w:t>性能指标</w:t>
            </w:r>
          </w:p>
        </w:tc>
        <w:tc>
          <w:tcPr>
            <w:tcW w:w="3150" w:type="dxa"/>
            <w:tcMar>
              <w:top w:w="15" w:type="dxa"/>
              <w:left w:w="15" w:type="dxa"/>
              <w:bottom w:w="0" w:type="dxa"/>
              <w:right w:w="15" w:type="dxa"/>
            </w:tcMar>
            <w:vAlign w:val="center"/>
          </w:tcPr>
          <w:p>
            <w:pPr>
              <w:spacing w:before="5"/>
              <w:jc w:val="center"/>
              <w:rPr>
                <w:color w:val="000000" w:themeColor="text1"/>
                <w:sz w:val="24"/>
                <w:szCs w:val="24"/>
              </w:rPr>
            </w:pPr>
            <w:r>
              <w:rPr>
                <w:rFonts w:hint="eastAsia"/>
                <w:color w:val="000000" w:themeColor="text1"/>
                <w:sz w:val="24"/>
                <w:szCs w:val="24"/>
              </w:rPr>
              <w:t>数量</w:t>
            </w:r>
          </w:p>
        </w:tc>
        <w:tc>
          <w:tcPr>
            <w:tcW w:w="709" w:type="dxa"/>
            <w:vAlign w:val="center"/>
          </w:tcPr>
          <w:p>
            <w:pPr>
              <w:spacing w:before="5"/>
              <w:jc w:val="center"/>
              <w:rPr>
                <w:color w:val="000000" w:themeColor="text1"/>
                <w:sz w:val="24"/>
                <w:szCs w:val="24"/>
              </w:rPr>
            </w:pPr>
            <w:r>
              <w:rPr>
                <w:rFonts w:hint="eastAsia"/>
                <w:color w:val="000000" w:themeColor="text1"/>
                <w:sz w:val="24"/>
                <w:szCs w:val="24"/>
              </w:rPr>
              <w:t>单价</w:t>
            </w:r>
          </w:p>
        </w:tc>
        <w:tc>
          <w:tcPr>
            <w:tcW w:w="709" w:type="dxa"/>
            <w:vAlign w:val="center"/>
          </w:tcPr>
          <w:p>
            <w:pPr>
              <w:spacing w:before="5"/>
              <w:jc w:val="center"/>
              <w:rPr>
                <w:color w:val="000000" w:themeColor="text1"/>
                <w:sz w:val="24"/>
                <w:szCs w:val="24"/>
              </w:rPr>
            </w:pPr>
            <w:r>
              <w:rPr>
                <w:rFonts w:hint="eastAsia"/>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710" w:type="dxa"/>
            <w:noWrap/>
            <w:tcMar>
              <w:top w:w="15" w:type="dxa"/>
              <w:left w:w="15" w:type="dxa"/>
              <w:bottom w:w="0" w:type="dxa"/>
              <w:right w:w="15" w:type="dxa"/>
            </w:tcMar>
            <w:vAlign w:val="center"/>
          </w:tcPr>
          <w:p>
            <w:pPr>
              <w:spacing w:before="5"/>
              <w:jc w:val="center"/>
              <w:rPr>
                <w:rFonts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1</w:t>
            </w:r>
          </w:p>
        </w:tc>
        <w:tc>
          <w:tcPr>
            <w:tcW w:w="992" w:type="dxa"/>
            <w:gridSpan w:val="2"/>
            <w:noWrap/>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134" w:type="dxa"/>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2914" w:type="dxa"/>
            <w:tcMar>
              <w:top w:w="15" w:type="dxa"/>
              <w:left w:w="15" w:type="dxa"/>
              <w:bottom w:w="0" w:type="dxa"/>
              <w:right w:w="15" w:type="dxa"/>
            </w:tcMar>
          </w:tcPr>
          <w:p>
            <w:pPr>
              <w:jc w:val="center"/>
              <w:rPr>
                <w:rFonts w:asciiTheme="minorEastAsia" w:hAnsiTheme="minorEastAsia"/>
                <w:bCs/>
                <w:color w:val="000000" w:themeColor="text1"/>
                <w:szCs w:val="21"/>
              </w:rPr>
            </w:pPr>
          </w:p>
        </w:tc>
        <w:tc>
          <w:tcPr>
            <w:tcW w:w="3150" w:type="dxa"/>
            <w:tcMar>
              <w:top w:w="15" w:type="dxa"/>
              <w:left w:w="15" w:type="dxa"/>
              <w:bottom w:w="0" w:type="dxa"/>
              <w:right w:w="15" w:type="dxa"/>
            </w:tcMar>
            <w:vAlign w:val="center"/>
          </w:tcPr>
          <w:p>
            <w:pPr>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　</w:t>
            </w:r>
          </w:p>
        </w:tc>
        <w:tc>
          <w:tcPr>
            <w:tcW w:w="709" w:type="dxa"/>
            <w:vAlign w:val="center"/>
          </w:tcPr>
          <w:p>
            <w:pPr>
              <w:jc w:val="center"/>
              <w:rPr>
                <w:rFonts w:asciiTheme="minorEastAsia" w:hAnsiTheme="minorEastAsia"/>
                <w:b/>
                <w:bCs/>
                <w:color w:val="000000" w:themeColor="text1"/>
                <w:szCs w:val="21"/>
              </w:rPr>
            </w:pPr>
          </w:p>
        </w:tc>
        <w:tc>
          <w:tcPr>
            <w:tcW w:w="709" w:type="dxa"/>
            <w:vAlign w:val="center"/>
          </w:tcPr>
          <w:p>
            <w:pPr>
              <w:jc w:val="center"/>
              <w:rPr>
                <w:rFonts w:asciiTheme="minorEastAsia" w:hAnsiTheme="minorEastAsia"/>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710" w:type="dxa"/>
            <w:noWrap/>
            <w:tcMar>
              <w:top w:w="15" w:type="dxa"/>
              <w:left w:w="15" w:type="dxa"/>
              <w:bottom w:w="0" w:type="dxa"/>
              <w:right w:w="15" w:type="dxa"/>
            </w:tcMar>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w:t>
            </w:r>
          </w:p>
        </w:tc>
        <w:tc>
          <w:tcPr>
            <w:tcW w:w="992" w:type="dxa"/>
            <w:gridSpan w:val="2"/>
            <w:noWrap/>
            <w:tcMar>
              <w:top w:w="15" w:type="dxa"/>
              <w:left w:w="15" w:type="dxa"/>
              <w:bottom w:w="0" w:type="dxa"/>
              <w:right w:w="15" w:type="dxa"/>
            </w:tcMar>
            <w:vAlign w:val="center"/>
          </w:tcPr>
          <w:p>
            <w:pPr>
              <w:jc w:val="center"/>
              <w:rPr>
                <w:rFonts w:asciiTheme="minorEastAsia" w:hAnsiTheme="minorEastAsia"/>
                <w:color w:val="000000" w:themeColor="text1"/>
                <w:szCs w:val="21"/>
              </w:rPr>
            </w:pPr>
          </w:p>
        </w:tc>
        <w:tc>
          <w:tcPr>
            <w:tcW w:w="1134" w:type="dxa"/>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2914" w:type="dxa"/>
            <w:tcMar>
              <w:top w:w="15" w:type="dxa"/>
              <w:left w:w="15" w:type="dxa"/>
              <w:bottom w:w="0" w:type="dxa"/>
              <w:right w:w="15" w:type="dxa"/>
            </w:tcMar>
            <w:vAlign w:val="center"/>
          </w:tcPr>
          <w:p>
            <w:pPr>
              <w:jc w:val="center"/>
              <w:rPr>
                <w:rFonts w:asciiTheme="minorEastAsia" w:hAnsiTheme="minorEastAsia"/>
                <w:bCs/>
                <w:color w:val="000000" w:themeColor="text1"/>
                <w:szCs w:val="21"/>
              </w:rPr>
            </w:pPr>
          </w:p>
        </w:tc>
        <w:tc>
          <w:tcPr>
            <w:tcW w:w="3150" w:type="dxa"/>
            <w:tcMar>
              <w:top w:w="15" w:type="dxa"/>
              <w:left w:w="15" w:type="dxa"/>
              <w:bottom w:w="0" w:type="dxa"/>
              <w:right w:w="15" w:type="dxa"/>
            </w:tcMar>
            <w:vAlign w:val="center"/>
          </w:tcPr>
          <w:p>
            <w:pPr>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　</w:t>
            </w:r>
          </w:p>
        </w:tc>
        <w:tc>
          <w:tcPr>
            <w:tcW w:w="709" w:type="dxa"/>
            <w:vAlign w:val="center"/>
          </w:tcPr>
          <w:p>
            <w:pPr>
              <w:jc w:val="center"/>
              <w:rPr>
                <w:rFonts w:asciiTheme="minorEastAsia" w:hAnsiTheme="minorEastAsia"/>
                <w:b/>
                <w:bCs/>
                <w:color w:val="000000" w:themeColor="text1"/>
                <w:szCs w:val="21"/>
              </w:rPr>
            </w:pPr>
          </w:p>
        </w:tc>
        <w:tc>
          <w:tcPr>
            <w:tcW w:w="709" w:type="dxa"/>
            <w:vAlign w:val="center"/>
          </w:tcPr>
          <w:p>
            <w:pPr>
              <w:jc w:val="center"/>
              <w:rPr>
                <w:rFonts w:asciiTheme="minorEastAsia" w:hAnsiTheme="minorEastAsia"/>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710" w:type="dxa"/>
            <w:noWrap/>
            <w:tcMar>
              <w:top w:w="15" w:type="dxa"/>
              <w:left w:w="15" w:type="dxa"/>
              <w:bottom w:w="0" w:type="dxa"/>
              <w:right w:w="15" w:type="dxa"/>
            </w:tcMar>
            <w:vAlign w:val="center"/>
          </w:tcPr>
          <w:p>
            <w:pPr>
              <w:jc w:val="center"/>
              <w:rPr>
                <w:rFonts w:asciiTheme="minorEastAsia" w:hAnsiTheme="minorEastAsia"/>
                <w:color w:val="000000" w:themeColor="text1"/>
                <w:szCs w:val="21"/>
              </w:rPr>
            </w:pPr>
            <w:r>
              <w:rPr>
                <w:rFonts w:asciiTheme="minorEastAsia" w:hAnsiTheme="minorEastAsia"/>
                <w:color w:val="000000" w:themeColor="text1"/>
                <w:szCs w:val="21"/>
              </w:rPr>
              <w:t>…</w:t>
            </w:r>
          </w:p>
        </w:tc>
        <w:tc>
          <w:tcPr>
            <w:tcW w:w="992" w:type="dxa"/>
            <w:gridSpan w:val="2"/>
            <w:noWrap/>
            <w:tcMar>
              <w:top w:w="15" w:type="dxa"/>
              <w:left w:w="15" w:type="dxa"/>
              <w:bottom w:w="0" w:type="dxa"/>
              <w:right w:w="15" w:type="dxa"/>
            </w:tcMar>
            <w:vAlign w:val="center"/>
          </w:tcPr>
          <w:p>
            <w:pPr>
              <w:jc w:val="center"/>
              <w:rPr>
                <w:rFonts w:asciiTheme="minorEastAsia" w:hAnsiTheme="minorEastAsia"/>
                <w:color w:val="000000" w:themeColor="text1"/>
                <w:szCs w:val="21"/>
              </w:rPr>
            </w:pPr>
          </w:p>
        </w:tc>
        <w:tc>
          <w:tcPr>
            <w:tcW w:w="1134" w:type="dxa"/>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2914" w:type="dxa"/>
            <w:tcMar>
              <w:top w:w="15" w:type="dxa"/>
              <w:left w:w="15" w:type="dxa"/>
              <w:bottom w:w="0" w:type="dxa"/>
              <w:right w:w="15" w:type="dxa"/>
            </w:tcMar>
            <w:vAlign w:val="center"/>
          </w:tcPr>
          <w:p>
            <w:pPr>
              <w:jc w:val="center"/>
              <w:rPr>
                <w:rFonts w:asciiTheme="minorEastAsia" w:hAnsiTheme="minorEastAsia"/>
                <w:bCs/>
                <w:color w:val="000000" w:themeColor="text1"/>
                <w:szCs w:val="21"/>
              </w:rPr>
            </w:pPr>
          </w:p>
        </w:tc>
        <w:tc>
          <w:tcPr>
            <w:tcW w:w="3150" w:type="dxa"/>
            <w:tcMar>
              <w:top w:w="15" w:type="dxa"/>
              <w:left w:w="15" w:type="dxa"/>
              <w:bottom w:w="0" w:type="dxa"/>
              <w:right w:w="15" w:type="dxa"/>
            </w:tcMar>
            <w:vAlign w:val="center"/>
          </w:tcPr>
          <w:p>
            <w:pPr>
              <w:jc w:val="center"/>
              <w:rPr>
                <w:rFonts w:asciiTheme="minorEastAsia" w:hAnsiTheme="minorEastAsia"/>
                <w:b/>
                <w:bCs/>
                <w:color w:val="000000" w:themeColor="text1"/>
                <w:szCs w:val="21"/>
              </w:rPr>
            </w:pPr>
          </w:p>
        </w:tc>
        <w:tc>
          <w:tcPr>
            <w:tcW w:w="709" w:type="dxa"/>
            <w:vAlign w:val="center"/>
          </w:tcPr>
          <w:p>
            <w:pPr>
              <w:jc w:val="center"/>
              <w:rPr>
                <w:rFonts w:asciiTheme="minorEastAsia" w:hAnsiTheme="minorEastAsia"/>
                <w:b/>
                <w:bCs/>
                <w:color w:val="000000" w:themeColor="text1"/>
                <w:szCs w:val="21"/>
              </w:rPr>
            </w:pPr>
          </w:p>
        </w:tc>
        <w:tc>
          <w:tcPr>
            <w:tcW w:w="709" w:type="dxa"/>
            <w:vAlign w:val="center"/>
          </w:tcPr>
          <w:p>
            <w:pPr>
              <w:jc w:val="center"/>
              <w:rPr>
                <w:rFonts w:asciiTheme="minorEastAsia" w:hAnsiTheme="minorEastAsia"/>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836" w:type="dxa"/>
            <w:gridSpan w:val="4"/>
            <w:noWrap/>
            <w:tcMar>
              <w:top w:w="15" w:type="dxa"/>
              <w:left w:w="15" w:type="dxa"/>
              <w:bottom w:w="0" w:type="dxa"/>
              <w:right w:w="15" w:type="dxa"/>
            </w:tcMar>
            <w:vAlign w:val="center"/>
          </w:tcPr>
          <w:p>
            <w:pPr>
              <w:jc w:val="center"/>
              <w:rPr>
                <w:rFonts w:ascii="宋体" w:hAnsi="Times New Roman" w:eastAsia="宋体" w:cs="Times New Roman"/>
                <w:b/>
                <w:bCs/>
                <w:color w:val="000000" w:themeColor="text1"/>
                <w:sz w:val="24"/>
                <w:szCs w:val="24"/>
              </w:rPr>
            </w:pPr>
            <w:r>
              <w:rPr>
                <w:rFonts w:hint="eastAsia" w:ascii="宋体" w:hAnsi="Times New Roman" w:eastAsia="宋体" w:cs="Times New Roman"/>
                <w:b/>
                <w:bCs/>
                <w:color w:val="000000" w:themeColor="text1"/>
                <w:sz w:val="24"/>
                <w:szCs w:val="24"/>
              </w:rPr>
              <w:t>合计</w:t>
            </w:r>
          </w:p>
        </w:tc>
        <w:tc>
          <w:tcPr>
            <w:tcW w:w="7482" w:type="dxa"/>
            <w:gridSpan w:val="4"/>
            <w:tcMar>
              <w:top w:w="15" w:type="dxa"/>
              <w:left w:w="15" w:type="dxa"/>
              <w:bottom w:w="0" w:type="dxa"/>
              <w:right w:w="15" w:type="dxa"/>
            </w:tcMar>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836" w:type="dxa"/>
            <w:gridSpan w:val="4"/>
            <w:noWrap/>
            <w:tcMar>
              <w:top w:w="15" w:type="dxa"/>
              <w:left w:w="15" w:type="dxa"/>
              <w:bottom w:w="0" w:type="dxa"/>
              <w:right w:w="15" w:type="dxa"/>
            </w:tcMar>
            <w:vAlign w:val="center"/>
          </w:tcPr>
          <w:p>
            <w:pPr>
              <w:jc w:val="center"/>
              <w:rPr>
                <w:rFonts w:ascii="宋体" w:hAnsi="Times New Roman" w:eastAsia="宋体" w:cs="Times New Roman"/>
                <w:b/>
                <w:bCs/>
                <w:color w:val="000000" w:themeColor="text1"/>
                <w:sz w:val="24"/>
                <w:szCs w:val="24"/>
              </w:rPr>
            </w:pPr>
            <w:r>
              <w:rPr>
                <w:rFonts w:hint="eastAsia" w:ascii="宋体" w:hAnsi="Times New Roman" w:eastAsia="宋体" w:cs="Times New Roman"/>
                <w:b/>
                <w:bCs/>
                <w:color w:val="000000" w:themeColor="text1"/>
                <w:sz w:val="24"/>
                <w:szCs w:val="24"/>
              </w:rPr>
              <w:t>完工期</w:t>
            </w:r>
          </w:p>
        </w:tc>
        <w:tc>
          <w:tcPr>
            <w:tcW w:w="7482" w:type="dxa"/>
            <w:gridSpan w:val="4"/>
            <w:tcMar>
              <w:top w:w="15" w:type="dxa"/>
              <w:left w:w="15" w:type="dxa"/>
              <w:bottom w:w="0" w:type="dxa"/>
              <w:right w:w="15" w:type="dxa"/>
            </w:tcMar>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836" w:type="dxa"/>
            <w:gridSpan w:val="4"/>
            <w:noWrap/>
            <w:tcMar>
              <w:top w:w="15" w:type="dxa"/>
              <w:left w:w="15" w:type="dxa"/>
              <w:bottom w:w="0" w:type="dxa"/>
              <w:right w:w="15" w:type="dxa"/>
            </w:tcMar>
            <w:vAlign w:val="center"/>
          </w:tcPr>
          <w:p>
            <w:pPr>
              <w:jc w:val="center"/>
              <w:rPr>
                <w:rFonts w:ascii="宋体" w:hAnsi="Times New Roman" w:eastAsia="宋体" w:cs="Times New Roman"/>
                <w:b/>
                <w:bCs/>
                <w:color w:val="000000" w:themeColor="text1"/>
                <w:sz w:val="24"/>
                <w:szCs w:val="24"/>
              </w:rPr>
            </w:pPr>
            <w:r>
              <w:rPr>
                <w:rFonts w:hint="eastAsia" w:ascii="宋体" w:hAnsi="Times New Roman" w:eastAsia="宋体" w:cs="Times New Roman"/>
                <w:b/>
                <w:bCs/>
                <w:color w:val="000000" w:themeColor="text1"/>
                <w:sz w:val="24"/>
                <w:szCs w:val="24"/>
              </w:rPr>
              <w:t>项目整体质保期</w:t>
            </w:r>
          </w:p>
        </w:tc>
        <w:tc>
          <w:tcPr>
            <w:tcW w:w="7482" w:type="dxa"/>
            <w:gridSpan w:val="4"/>
            <w:tcMar>
              <w:top w:w="15" w:type="dxa"/>
              <w:left w:w="15" w:type="dxa"/>
              <w:bottom w:w="0" w:type="dxa"/>
              <w:right w:w="15" w:type="dxa"/>
            </w:tcMar>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920" w:type="dxa"/>
            <w:gridSpan w:val="2"/>
            <w:vMerge w:val="restart"/>
            <w:vAlign w:val="center"/>
          </w:tcPr>
          <w:p>
            <w:pPr>
              <w:spacing w:after="120" w:line="400" w:lineRule="exact"/>
              <w:ind w:firstLine="120" w:firstLineChars="50"/>
              <w:rPr>
                <w:rFonts w:ascii="宋体" w:hAnsi="Times New Roman" w:eastAsia="宋体" w:cs="Times New Roman"/>
                <w:b/>
                <w:bCs/>
                <w:color w:val="000000" w:themeColor="text1"/>
                <w:sz w:val="24"/>
                <w:szCs w:val="24"/>
              </w:rPr>
            </w:pPr>
            <w:r>
              <w:rPr>
                <w:rFonts w:hint="eastAsia" w:ascii="宋体" w:hAnsi="宋体" w:eastAsia="宋体" w:cs="Times New Roman"/>
                <w:b/>
                <w:bCs/>
                <w:color w:val="000000" w:themeColor="text1"/>
                <w:sz w:val="24"/>
                <w:szCs w:val="24"/>
              </w:rPr>
              <w:t>服</w:t>
            </w:r>
          </w:p>
          <w:p>
            <w:pPr>
              <w:spacing w:after="120" w:line="400" w:lineRule="exact"/>
              <w:rPr>
                <w:rFonts w:ascii="宋体" w:hAnsi="Times New Roman" w:eastAsia="宋体" w:cs="Times New Roman"/>
                <w:b/>
                <w:bCs/>
                <w:color w:val="000000" w:themeColor="text1"/>
                <w:sz w:val="24"/>
                <w:szCs w:val="24"/>
              </w:rPr>
            </w:pPr>
          </w:p>
          <w:p>
            <w:pPr>
              <w:spacing w:after="120" w:line="400" w:lineRule="exact"/>
              <w:ind w:firstLine="120" w:firstLineChars="50"/>
              <w:rPr>
                <w:rFonts w:ascii="宋体" w:hAnsi="Times New Roman" w:eastAsia="宋体" w:cs="Times New Roman"/>
                <w:b/>
                <w:bCs/>
                <w:color w:val="000000" w:themeColor="text1"/>
                <w:sz w:val="24"/>
                <w:szCs w:val="24"/>
              </w:rPr>
            </w:pPr>
            <w:r>
              <w:rPr>
                <w:rFonts w:hint="eastAsia" w:ascii="宋体" w:hAnsi="宋体" w:eastAsia="宋体" w:cs="Times New Roman"/>
                <w:b/>
                <w:bCs/>
                <w:color w:val="000000" w:themeColor="text1"/>
                <w:sz w:val="24"/>
                <w:szCs w:val="24"/>
              </w:rPr>
              <w:t>务</w:t>
            </w:r>
          </w:p>
          <w:p>
            <w:pPr>
              <w:spacing w:after="120" w:line="400" w:lineRule="exact"/>
              <w:rPr>
                <w:rFonts w:ascii="宋体" w:hAnsi="Times New Roman" w:eastAsia="宋体" w:cs="Times New Roman"/>
                <w:b/>
                <w:bCs/>
                <w:color w:val="000000" w:themeColor="text1"/>
                <w:sz w:val="24"/>
                <w:szCs w:val="24"/>
              </w:rPr>
            </w:pPr>
          </w:p>
          <w:p>
            <w:pPr>
              <w:spacing w:after="120" w:line="400" w:lineRule="exact"/>
              <w:ind w:firstLine="120" w:firstLineChars="50"/>
              <w:rPr>
                <w:rFonts w:ascii="宋体" w:hAnsi="Times New Roman" w:eastAsia="宋体" w:cs="Times New Roman"/>
                <w:b/>
                <w:bCs/>
                <w:color w:val="000000" w:themeColor="text1"/>
                <w:sz w:val="24"/>
                <w:szCs w:val="24"/>
              </w:rPr>
            </w:pPr>
            <w:r>
              <w:rPr>
                <w:rFonts w:hint="eastAsia" w:ascii="宋体" w:hAnsi="宋体" w:eastAsia="宋体" w:cs="Times New Roman"/>
                <w:b/>
                <w:bCs/>
                <w:color w:val="000000" w:themeColor="text1"/>
                <w:sz w:val="24"/>
                <w:szCs w:val="24"/>
              </w:rPr>
              <w:t>承</w:t>
            </w:r>
          </w:p>
          <w:p>
            <w:pPr>
              <w:spacing w:after="120" w:line="400" w:lineRule="exact"/>
              <w:rPr>
                <w:rFonts w:ascii="宋体" w:hAnsi="Times New Roman" w:eastAsia="宋体" w:cs="Times New Roman"/>
                <w:b/>
                <w:bCs/>
                <w:color w:val="000000" w:themeColor="text1"/>
                <w:sz w:val="24"/>
                <w:szCs w:val="24"/>
              </w:rPr>
            </w:pPr>
          </w:p>
          <w:p>
            <w:pPr>
              <w:spacing w:after="120" w:line="400" w:lineRule="exact"/>
              <w:ind w:firstLine="120" w:firstLineChars="50"/>
              <w:rPr>
                <w:rFonts w:ascii="宋体" w:hAnsi="Times New Roman" w:eastAsia="宋体" w:cs="Times New Roman"/>
                <w:bCs/>
                <w:color w:val="000000" w:themeColor="text1"/>
                <w:sz w:val="24"/>
                <w:szCs w:val="24"/>
              </w:rPr>
            </w:pPr>
            <w:r>
              <w:rPr>
                <w:rFonts w:hint="eastAsia" w:ascii="宋体" w:hAnsi="宋体" w:eastAsia="宋体" w:cs="Times New Roman"/>
                <w:b/>
                <w:bCs/>
                <w:color w:val="000000" w:themeColor="text1"/>
                <w:sz w:val="24"/>
                <w:szCs w:val="24"/>
              </w:rPr>
              <w:t>诺</w:t>
            </w:r>
          </w:p>
        </w:tc>
        <w:tc>
          <w:tcPr>
            <w:tcW w:w="9398" w:type="dxa"/>
            <w:gridSpan w:val="6"/>
            <w:vAlign w:val="center"/>
          </w:tcPr>
          <w:p>
            <w:pPr>
              <w:tabs>
                <w:tab w:val="left" w:pos="210"/>
              </w:tabs>
              <w:rPr>
                <w:rFonts w:ascii="宋体"/>
                <w:bCs/>
                <w:color w:val="000000" w:themeColor="text1"/>
                <w:sz w:val="24"/>
                <w:szCs w:val="24"/>
              </w:rPr>
            </w:pPr>
            <w:r>
              <w:rPr>
                <w:rFonts w:hint="eastAsia" w:ascii="宋体" w:hAnsi="宋体"/>
                <w:bCs/>
                <w:color w:val="000000" w:themeColor="text1"/>
                <w:sz w:val="24"/>
                <w:szCs w:val="24"/>
              </w:rPr>
              <w:t>1. 质量</w:t>
            </w:r>
            <w:r>
              <w:rPr>
                <w:rFonts w:ascii="宋体" w:hAnsi="宋体"/>
                <w:bCs/>
                <w:color w:val="000000" w:themeColor="text1"/>
                <w:sz w:val="24"/>
                <w:szCs w:val="24"/>
              </w:rPr>
              <w:t xml:space="preserve"> 2.</w:t>
            </w:r>
            <w:r>
              <w:rPr>
                <w:rFonts w:hint="eastAsia" w:ascii="宋体" w:hAnsi="宋体"/>
                <w:bCs/>
                <w:color w:val="000000" w:themeColor="text1"/>
                <w:sz w:val="24"/>
                <w:szCs w:val="24"/>
              </w:rPr>
              <w:t>安装</w:t>
            </w:r>
            <w:r>
              <w:rPr>
                <w:rFonts w:ascii="宋体" w:hAnsi="宋体"/>
                <w:bCs/>
                <w:color w:val="000000" w:themeColor="text1"/>
                <w:sz w:val="24"/>
                <w:szCs w:val="24"/>
              </w:rPr>
              <w:t xml:space="preserve"> 3."</w:t>
            </w:r>
            <w:r>
              <w:rPr>
                <w:rFonts w:hint="eastAsia" w:ascii="宋体" w:hAnsi="宋体"/>
                <w:bCs/>
                <w:color w:val="000000" w:themeColor="text1"/>
                <w:sz w:val="24"/>
                <w:szCs w:val="24"/>
              </w:rPr>
              <w:t>三包</w:t>
            </w:r>
            <w:r>
              <w:rPr>
                <w:rFonts w:ascii="宋体" w:hAnsi="宋体"/>
                <w:bCs/>
                <w:color w:val="000000" w:themeColor="text1"/>
                <w:sz w:val="24"/>
                <w:szCs w:val="24"/>
              </w:rPr>
              <w:t>"(</w:t>
            </w:r>
            <w:r>
              <w:rPr>
                <w:rFonts w:hint="eastAsia" w:ascii="宋体" w:hAnsi="宋体"/>
                <w:bCs/>
                <w:color w:val="000000" w:themeColor="text1"/>
                <w:sz w:val="24"/>
                <w:szCs w:val="24"/>
              </w:rPr>
              <w:t>包修、包退、包换</w:t>
            </w:r>
            <w:r>
              <w:rPr>
                <w:rFonts w:ascii="宋体" w:hAnsi="宋体"/>
                <w:bCs/>
                <w:color w:val="000000" w:themeColor="text1"/>
                <w:sz w:val="24"/>
                <w:szCs w:val="24"/>
              </w:rPr>
              <w:t>)4</w:t>
            </w:r>
            <w:r>
              <w:rPr>
                <w:rFonts w:ascii="宋体"/>
                <w:bCs/>
                <w:color w:val="000000" w:themeColor="text1"/>
                <w:sz w:val="24"/>
                <w:szCs w:val="24"/>
              </w:rPr>
              <w:t>.</w:t>
            </w:r>
            <w:r>
              <w:rPr>
                <w:rFonts w:hint="eastAsia" w:ascii="宋体" w:hAnsi="宋体"/>
                <w:bCs/>
                <w:color w:val="000000" w:themeColor="text1"/>
                <w:sz w:val="24"/>
                <w:szCs w:val="24"/>
              </w:rPr>
              <w:t>其他承诺</w:t>
            </w:r>
          </w:p>
          <w:p>
            <w:pPr>
              <w:rPr>
                <w:rFonts w:ascii="宋体"/>
                <w:bCs/>
                <w:color w:val="000000" w:themeColor="text1"/>
                <w:sz w:val="24"/>
                <w:szCs w:val="24"/>
              </w:rPr>
            </w:pPr>
            <w:r>
              <w:rPr>
                <w:rFonts w:hint="eastAsia" w:ascii="宋体" w:hAnsi="宋体"/>
                <w:bCs/>
                <w:color w:val="000000" w:themeColor="text1"/>
                <w:sz w:val="24"/>
                <w:szCs w:val="24"/>
              </w:rPr>
              <w:t>（以上是主要承诺，供供应商参考，供应商应在满足采购文件要求的基础上，根据自己单位的情况作出具体承诺）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trPr>
        <w:tc>
          <w:tcPr>
            <w:tcW w:w="920" w:type="dxa"/>
            <w:gridSpan w:val="2"/>
            <w:vMerge w:val="continue"/>
            <w:vAlign w:val="center"/>
          </w:tcPr>
          <w:p>
            <w:pPr>
              <w:spacing w:after="120" w:line="400" w:lineRule="exact"/>
              <w:rPr>
                <w:rFonts w:ascii="宋体" w:hAnsi="Times New Roman" w:eastAsia="宋体" w:cs="Times New Roman"/>
                <w:bCs/>
                <w:color w:val="000000" w:themeColor="text1"/>
                <w:sz w:val="24"/>
                <w:szCs w:val="24"/>
              </w:rPr>
            </w:pPr>
          </w:p>
        </w:tc>
        <w:tc>
          <w:tcPr>
            <w:tcW w:w="9398" w:type="dxa"/>
            <w:gridSpan w:val="6"/>
            <w:vAlign w:val="center"/>
          </w:tcPr>
          <w:p>
            <w:pPr>
              <w:rPr>
                <w:rFonts w:ascii="宋体"/>
                <w:bCs/>
                <w:color w:val="000000" w:themeColor="text1"/>
                <w:sz w:val="24"/>
                <w:szCs w:val="24"/>
              </w:rPr>
            </w:pPr>
          </w:p>
        </w:tc>
      </w:tr>
    </w:tbl>
    <w:p>
      <w:pPr>
        <w:spacing w:before="5"/>
        <w:rPr>
          <w:b/>
          <w:bCs/>
          <w:color w:val="000000" w:themeColor="text1"/>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p>
    <w:p>
      <w:pPr>
        <w:rPr>
          <w:rFonts w:ascii="宋体" w:hAnsi="宋体" w:eastAsia="宋体"/>
          <w:b/>
          <w:sz w:val="24"/>
          <w:szCs w:val="24"/>
        </w:rPr>
      </w:pPr>
    </w:p>
    <w:p>
      <w:pPr>
        <w:rPr>
          <w:rFonts w:ascii="宋体" w:hAnsi="宋体" w:eastAsia="宋体"/>
          <w:bCs/>
          <w:sz w:val="24"/>
          <w:szCs w:val="24"/>
        </w:rPr>
      </w:pPr>
      <w:r>
        <w:rPr>
          <w:rFonts w:hint="eastAsia" w:ascii="宋体" w:hAnsi="宋体" w:eastAsia="宋体"/>
          <w:b/>
          <w:sz w:val="24"/>
          <w:szCs w:val="24"/>
        </w:rPr>
        <w:t>注：</w:t>
      </w:r>
      <w:r>
        <w:rPr>
          <w:rFonts w:hint="eastAsia" w:ascii="宋体" w:hAnsi="宋体" w:eastAsia="宋体"/>
          <w:bCs/>
          <w:sz w:val="24"/>
          <w:szCs w:val="24"/>
        </w:rPr>
        <w:t>（</w:t>
      </w:r>
      <w:r>
        <w:rPr>
          <w:rFonts w:ascii="宋体" w:hAnsi="宋体" w:eastAsia="宋体"/>
          <w:bCs/>
          <w:sz w:val="24"/>
          <w:szCs w:val="24"/>
        </w:rPr>
        <w:t>1</w:t>
      </w:r>
      <w:r>
        <w:rPr>
          <w:rFonts w:hint="eastAsia" w:ascii="宋体" w:hAnsi="宋体" w:eastAsia="宋体"/>
          <w:bCs/>
          <w:sz w:val="24"/>
          <w:szCs w:val="24"/>
        </w:rPr>
        <w:t>）供应商应当根据“项目技术要求和有关说明”的内容在上表中详细填写；</w:t>
      </w:r>
    </w:p>
    <w:p>
      <w:pPr>
        <w:ind w:firstLine="360" w:firstLineChars="150"/>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w:t>
      </w:r>
      <w:r>
        <w:rPr>
          <w:rFonts w:hint="eastAsia" w:ascii="宋体" w:hAnsi="宋体" w:eastAsia="宋体"/>
          <w:bCs/>
          <w:sz w:val="24"/>
          <w:szCs w:val="24"/>
        </w:rPr>
        <w:t>）表格不够可自行延长。</w:t>
      </w:r>
    </w:p>
    <w:p>
      <w:pPr>
        <w:widowControl/>
        <w:jc w:val="left"/>
        <w:rPr>
          <w:rFonts w:ascii="黑体" w:hAnsi="宋体" w:eastAsia="黑体"/>
          <w:bCs/>
          <w:sz w:val="24"/>
          <w:szCs w:val="24"/>
        </w:rPr>
      </w:pPr>
      <w:r>
        <w:rPr>
          <w:rFonts w:ascii="黑体" w:hAnsi="宋体" w:eastAsia="黑体"/>
          <w:bCs/>
          <w:sz w:val="24"/>
          <w:szCs w:val="24"/>
        </w:rPr>
        <w:br w:type="page"/>
      </w:r>
    </w:p>
    <w:p>
      <w:pPr>
        <w:spacing w:line="360" w:lineRule="auto"/>
        <w:rPr>
          <w:rFonts w:ascii="黑体" w:hAnsi="黑体" w:eastAsia="黑体"/>
          <w:sz w:val="28"/>
          <w:szCs w:val="28"/>
        </w:rPr>
      </w:pPr>
      <w:r>
        <w:rPr>
          <w:rFonts w:hint="eastAsia" w:ascii="黑体" w:hAnsi="黑体" w:eastAsia="黑体"/>
          <w:sz w:val="28"/>
          <w:szCs w:val="28"/>
        </w:rPr>
        <w:t>六、技术参数响应及偏离表</w:t>
      </w:r>
    </w:p>
    <w:p>
      <w:pPr>
        <w:jc w:val="center"/>
        <w:rPr>
          <w:rFonts w:ascii="宋体"/>
          <w:bCs/>
          <w:color w:val="000000" w:themeColor="text1"/>
        </w:rPr>
      </w:pPr>
    </w:p>
    <w:p>
      <w:pPr>
        <w:jc w:val="center"/>
        <w:rPr>
          <w:rFonts w:ascii="宋体"/>
          <w:bCs/>
          <w:color w:val="000000" w:themeColor="text1"/>
        </w:rPr>
      </w:pPr>
    </w:p>
    <w:p>
      <w:pPr>
        <w:spacing w:line="400" w:lineRule="exac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供应商名称（盖章）：          采购项目编号：</w:t>
      </w:r>
    </w:p>
    <w:p>
      <w:pPr>
        <w:spacing w:line="400" w:lineRule="exact"/>
        <w:rPr>
          <w:rFonts w:ascii="黑体" w:eastAsia="黑体"/>
          <w:bCs/>
          <w:color w:val="000000" w:themeColor="text1"/>
          <w:sz w:val="24"/>
          <w:szCs w:val="24"/>
        </w:rPr>
      </w:pPr>
    </w:p>
    <w:tbl>
      <w:tblPr>
        <w:tblStyle w:val="32"/>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themeColor="text1"/>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color w:val="000000" w:themeColor="text1"/>
              </w:rPr>
            </w:pPr>
          </w:p>
        </w:tc>
      </w:tr>
    </w:tbl>
    <w:p>
      <w:pPr>
        <w:rPr>
          <w:rFonts w:asciiTheme="minorEastAsia" w:hAnsiTheme="minorEastAsia"/>
          <w:b/>
          <w:color w:val="000000" w:themeColor="text1"/>
          <w:sz w:val="24"/>
          <w:szCs w:val="24"/>
        </w:rPr>
      </w:pPr>
    </w:p>
    <w:p>
      <w:pPr>
        <w:spacing w:before="5"/>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法定代表人或被授权代表（签字或盖章）：</w:t>
      </w:r>
    </w:p>
    <w:p>
      <w:pPr>
        <w:rPr>
          <w:rFonts w:asciiTheme="minorEastAsia" w:hAnsiTheme="minorEastAsia"/>
          <w:bCs/>
          <w:color w:val="000000" w:themeColor="text1"/>
          <w:sz w:val="30"/>
        </w:rPr>
      </w:pP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注：</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）本表不得删除；</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2</w:t>
      </w:r>
      <w:r>
        <w:rPr>
          <w:rFonts w:hint="eastAsia" w:asciiTheme="minorEastAsia" w:hAnsiTheme="minorEastAsia"/>
          <w:color w:val="000000" w:themeColor="text1"/>
          <w:sz w:val="24"/>
          <w:szCs w:val="24"/>
        </w:rPr>
        <w:t>）如无任何技术偏离，请于本表 “偏离说明”中注明“无偏离”；</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（3）如有技术偏离项，请于本表中列明偏离内容，如需要可自行延长，其余无偏离内容不须赘述。</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widowControl/>
        <w:jc w:val="left"/>
        <w:rPr>
          <w:rFonts w:ascii="宋体" w:hAnsi="宋体"/>
          <w:sz w:val="24"/>
        </w:rPr>
      </w:pPr>
      <w:r>
        <w:rPr>
          <w:rFonts w:ascii="宋体" w:hAnsi="宋体"/>
          <w:sz w:val="24"/>
        </w:rPr>
        <w:br w:type="page"/>
      </w:r>
    </w:p>
    <w:p>
      <w:pPr>
        <w:spacing w:line="360" w:lineRule="auto"/>
        <w:rPr>
          <w:rFonts w:ascii="黑体" w:hAnsi="黑体" w:eastAsia="黑体"/>
          <w:sz w:val="28"/>
          <w:szCs w:val="28"/>
        </w:rPr>
      </w:pPr>
      <w:r>
        <w:rPr>
          <w:rFonts w:hint="eastAsia" w:ascii="黑体" w:hAnsi="黑体" w:eastAsia="黑体"/>
          <w:sz w:val="28"/>
          <w:szCs w:val="28"/>
        </w:rPr>
        <w:t>七、商务条款响应及偏离表</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质保期</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售后技术服务要求</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交付时间及地点</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付款条件</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备品备件及耗材等要求</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r>
              <w:rPr>
                <w:rFonts w:hint="eastAsia" w:ascii="宋体" w:hAnsi="宋体"/>
                <w:sz w:val="24"/>
              </w:rPr>
              <w:t>其他</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sz w:val="24"/>
                <w:szCs w:val="20"/>
              </w:rPr>
            </w:pPr>
          </w:p>
        </w:tc>
      </w:tr>
    </w:tbl>
    <w:p>
      <w:pPr>
        <w:rPr>
          <w:rFonts w:ascii="宋体" w:hAnsi="宋体"/>
          <w:sz w:val="24"/>
        </w:rPr>
      </w:pPr>
    </w:p>
    <w:p>
      <w:pPr>
        <w:spacing w:line="360" w:lineRule="auto"/>
        <w:jc w:val="center"/>
        <w:rPr>
          <w:rFonts w:ascii="宋体" w:hAnsi="宋体"/>
          <w:b/>
          <w:sz w:val="32"/>
          <w:szCs w:val="32"/>
        </w:rPr>
      </w:pPr>
      <w:r>
        <w:rPr>
          <w:rFonts w:ascii="宋体" w:hAnsi="宋体"/>
          <w:b/>
          <w:sz w:val="32"/>
          <w:szCs w:val="32"/>
        </w:rPr>
        <w:br w:type="page"/>
      </w:r>
    </w:p>
    <w:p>
      <w:pPr>
        <w:spacing w:line="360" w:lineRule="auto"/>
        <w:rPr>
          <w:rFonts w:ascii="黑体" w:hAnsi="黑体" w:eastAsia="黑体"/>
          <w:bCs/>
          <w:sz w:val="28"/>
          <w:szCs w:val="28"/>
        </w:rPr>
      </w:pPr>
      <w:r>
        <w:rPr>
          <w:rFonts w:hint="eastAsia" w:ascii="黑体" w:hAnsi="黑体" w:eastAsia="黑体"/>
          <w:sz w:val="28"/>
          <w:szCs w:val="28"/>
        </w:rPr>
        <w:t>八、技术方案、服务承诺、培训承诺</w:t>
      </w:r>
    </w:p>
    <w:p>
      <w:bookmarkStart w:id="71" w:name="_Toc59000746"/>
    </w:p>
    <w:p>
      <w:pPr>
        <w:rPr>
          <w:sz w:val="24"/>
          <w:szCs w:val="24"/>
        </w:rPr>
      </w:pPr>
      <w:r>
        <w:rPr>
          <w:rFonts w:hint="eastAsia"/>
          <w:sz w:val="24"/>
          <w:szCs w:val="24"/>
        </w:rPr>
        <w:t>（内容格式自定）</w:t>
      </w:r>
      <w:bookmarkEnd w:id="71"/>
    </w:p>
    <w:p>
      <w:pPr>
        <w:rPr>
          <w:sz w:val="30"/>
        </w:rPr>
      </w:pPr>
      <w:r>
        <w:rPr>
          <w:sz w:val="30"/>
        </w:rPr>
        <w:t>……</w:t>
      </w:r>
    </w:p>
    <w:p>
      <w:pPr>
        <w:rPr>
          <w:rFonts w:ascii="黑体" w:eastAsia="黑体"/>
          <w:bCs/>
          <w:color w:val="000000" w:themeColor="text1"/>
          <w:kern w:val="0"/>
          <w:sz w:val="24"/>
          <w:szCs w:val="24"/>
        </w:rPr>
      </w:pPr>
      <w:bookmarkStart w:id="72" w:name="_Toc55147059"/>
      <w:r>
        <w:br w:type="page"/>
      </w:r>
    </w:p>
    <w:bookmarkEnd w:id="72"/>
    <w:p>
      <w:pPr>
        <w:spacing w:line="360" w:lineRule="auto"/>
        <w:rPr>
          <w:rFonts w:ascii="黑体" w:hAnsi="黑体" w:eastAsia="黑体"/>
          <w:bCs/>
          <w:sz w:val="28"/>
          <w:szCs w:val="28"/>
        </w:rPr>
      </w:pPr>
      <w:bookmarkStart w:id="73" w:name="_Toc55147061"/>
      <w:r>
        <w:rPr>
          <w:rFonts w:hint="eastAsia" w:ascii="黑体" w:hAnsi="黑体" w:eastAsia="黑体"/>
          <w:sz w:val="28"/>
          <w:szCs w:val="28"/>
        </w:rPr>
        <w:t>九、其他格式附件</w:t>
      </w:r>
    </w:p>
    <w:p>
      <w:pPr>
        <w:rPr>
          <w:rFonts w:ascii="黑体" w:hAnsi="黑体" w:eastAsia="黑体"/>
          <w:sz w:val="24"/>
          <w:szCs w:val="24"/>
        </w:rPr>
      </w:pPr>
      <w:r>
        <w:rPr>
          <w:rFonts w:hint="eastAsia" w:ascii="黑体" w:hAnsi="黑体" w:eastAsia="黑体"/>
          <w:sz w:val="24"/>
          <w:szCs w:val="24"/>
        </w:rPr>
        <w:t>（一）响应函（格式）</w:t>
      </w:r>
    </w:p>
    <w:p>
      <w:pPr>
        <w:spacing w:line="360" w:lineRule="auto"/>
        <w:jc w:val="center"/>
        <w:rPr>
          <w:rFonts w:ascii="宋体"/>
          <w:bCs/>
          <w:color w:val="000000" w:themeColor="text1"/>
          <w:sz w:val="24"/>
          <w:szCs w:val="24"/>
        </w:rPr>
      </w:pPr>
      <w:r>
        <w:rPr>
          <w:rFonts w:hint="eastAsia" w:ascii="黑体" w:eastAsia="黑体"/>
          <w:bCs/>
          <w:color w:val="000000" w:themeColor="text1"/>
          <w:sz w:val="28"/>
          <w:szCs w:val="28"/>
        </w:rPr>
        <w:t>响应函</w:t>
      </w:r>
    </w:p>
    <w:p>
      <w:pPr>
        <w:spacing w:line="360" w:lineRule="auto"/>
        <w:rPr>
          <w:rFonts w:ascii="宋体"/>
          <w:bCs/>
          <w:color w:val="000000" w:themeColor="text1"/>
          <w:sz w:val="24"/>
          <w:szCs w:val="24"/>
        </w:rPr>
      </w:pPr>
      <w:r>
        <w:rPr>
          <w:rFonts w:hint="eastAsia" w:ascii="宋体" w:hAnsi="宋体"/>
          <w:bCs/>
          <w:color w:val="000000" w:themeColor="text1"/>
          <w:sz w:val="24"/>
          <w:szCs w:val="24"/>
        </w:rPr>
        <w:t>致江苏仁禾中衡工程咨询房地产估价有限公司：</w:t>
      </w:r>
    </w:p>
    <w:p>
      <w:pPr>
        <w:spacing w:line="360" w:lineRule="auto"/>
        <w:ind w:firstLine="480" w:firstLineChars="200"/>
        <w:rPr>
          <w:rFonts w:ascii="宋体"/>
          <w:bCs/>
          <w:color w:val="000000" w:themeColor="text1"/>
          <w:sz w:val="24"/>
          <w:szCs w:val="24"/>
        </w:rPr>
      </w:pP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我方收到贵方编号采购文件，经仔细阅读和研究，我方决定参加此项目的报价。</w:t>
      </w:r>
    </w:p>
    <w:p>
      <w:pPr>
        <w:numPr>
          <w:ilvl w:val="0"/>
          <w:numId w:val="6"/>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rPr>
      </w:pPr>
      <w:r>
        <w:rPr>
          <w:rFonts w:hint="eastAsia" w:ascii="宋体" w:hAnsi="宋体"/>
          <w:bCs/>
          <w:color w:val="000000" w:themeColor="text1"/>
          <w:sz w:val="24"/>
          <w:szCs w:val="24"/>
        </w:rPr>
        <w:t>我方愿意按照采购文件的一切要求，提供本项目的报价，总价见《报价一览表》。</w:t>
      </w:r>
    </w:p>
    <w:p>
      <w:pPr>
        <w:numPr>
          <w:ilvl w:val="0"/>
          <w:numId w:val="6"/>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Times New Roman" w:eastAsia="宋体" w:cs="Times New Roman"/>
          <w:bCs/>
          <w:color w:val="000000" w:themeColor="text1"/>
          <w:sz w:val="24"/>
          <w:szCs w:val="24"/>
        </w:rPr>
      </w:pPr>
      <w:r>
        <w:rPr>
          <w:rFonts w:hint="eastAsia" w:ascii="宋体" w:hAnsi="宋体"/>
          <w:bCs/>
          <w:color w:val="000000" w:themeColor="text1"/>
          <w:sz w:val="24"/>
          <w:szCs w:val="24"/>
        </w:rPr>
        <w:t>我方愿意提供采购文件中要求的文件、资料。</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color w:val="000000" w:themeColor="text1"/>
          <w:sz w:val="24"/>
          <w:szCs w:val="24"/>
        </w:rPr>
        <w:t>我方同意按采购文件中的规定，本响应文件报价的有效期限为报价截止之日起</w:t>
      </w:r>
      <w:r>
        <w:rPr>
          <w:rFonts w:ascii="宋体" w:hAnsi="宋体"/>
          <w:bCs/>
          <w:color w:val="000000" w:themeColor="text1"/>
          <w:sz w:val="24"/>
          <w:szCs w:val="24"/>
        </w:rPr>
        <w:t>90</w:t>
      </w:r>
      <w:r>
        <w:rPr>
          <w:rFonts w:hint="eastAsia" w:ascii="宋体" w:hAnsi="宋体"/>
          <w:bCs/>
          <w:color w:val="000000" w:themeColor="text1"/>
          <w:sz w:val="24"/>
          <w:szCs w:val="24"/>
        </w:rPr>
        <w:t>天。</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color w:val="000000" w:themeColor="text1"/>
          <w:sz w:val="24"/>
          <w:szCs w:val="24"/>
        </w:rPr>
        <w:t>如果我方的响应文件被接受，我方将履行采购文件中规定的每一项要求，按期、按质、按量，完成交货任务。</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color w:val="000000" w:themeColor="text1"/>
          <w:sz w:val="24"/>
          <w:szCs w:val="24"/>
        </w:rPr>
        <w:t>我方愿意遵守《中华人民共</w:t>
      </w:r>
      <w:r>
        <w:rPr>
          <w:rFonts w:hint="eastAsia" w:ascii="宋体" w:hAnsi="宋体"/>
          <w:bCs/>
          <w:sz w:val="24"/>
          <w:szCs w:val="24"/>
        </w:rPr>
        <w:t>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w:t>
      </w:r>
      <w:r>
        <w:rPr>
          <w:rFonts w:hint="eastAsia" w:ascii="宋体" w:hAnsi="宋体"/>
          <w:bCs/>
          <w:color w:val="000000" w:themeColor="text1"/>
          <w:sz w:val="24"/>
          <w:szCs w:val="24"/>
        </w:rPr>
        <w:t>采购</w:t>
      </w:r>
      <w:r>
        <w:rPr>
          <w:rFonts w:hint="eastAsia" w:ascii="宋体" w:hAnsi="宋体"/>
          <w:bCs/>
          <w:sz w:val="24"/>
          <w:szCs w:val="24"/>
        </w:rPr>
        <w:t>文件所有的规定。</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我方愿意按</w:t>
      </w:r>
      <w:r>
        <w:rPr>
          <w:rFonts w:hint="eastAsia" w:ascii="宋体" w:hAnsi="宋体"/>
          <w:bCs/>
          <w:color w:val="000000" w:themeColor="text1"/>
          <w:sz w:val="24"/>
          <w:szCs w:val="24"/>
        </w:rPr>
        <w:t>采购</w:t>
      </w:r>
      <w:r>
        <w:rPr>
          <w:rFonts w:hint="eastAsia" w:ascii="宋体" w:hAnsi="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如果我方被确定为成交供应商，我方愿意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w:t>
      </w:r>
      <w:r>
        <w:rPr>
          <w:rFonts w:hint="eastAsia" w:ascii="宋体" w:hAnsi="宋体"/>
          <w:bCs/>
          <w:color w:val="000000" w:themeColor="text1"/>
          <w:sz w:val="24"/>
          <w:szCs w:val="24"/>
        </w:rPr>
        <w:t>采购</w:t>
      </w:r>
      <w:r>
        <w:rPr>
          <w:rFonts w:hint="eastAsia" w:ascii="宋体" w:hAnsi="宋体"/>
          <w:bCs/>
          <w:sz w:val="24"/>
          <w:szCs w:val="24"/>
        </w:rPr>
        <w:t>文件、响应文件和合同条款的，一经查实，我方愿意赔偿由此而造成的一切损失，并同意接受按</w:t>
      </w:r>
      <w:r>
        <w:rPr>
          <w:rFonts w:hint="eastAsia" w:ascii="宋体" w:hAnsi="宋体"/>
          <w:bCs/>
          <w:color w:val="000000" w:themeColor="text1"/>
          <w:sz w:val="24"/>
          <w:szCs w:val="24"/>
        </w:rPr>
        <w:t>采购</w:t>
      </w:r>
      <w:r>
        <w:rPr>
          <w:rFonts w:hint="eastAsia" w:ascii="宋体" w:hAnsi="宋体"/>
          <w:bCs/>
          <w:sz w:val="24"/>
          <w:szCs w:val="24"/>
        </w:rPr>
        <w:t>文件的相关要求对我方进行的处理。</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sz w:val="24"/>
          <w:szCs w:val="24"/>
        </w:rPr>
        <w:t>我方决不提供虚假材料谋取成交、决不采取不正当手段诋毁、排挤其他供应商、决不与采购人、其它供应商或者采购代理机构恶意串通</w:t>
      </w:r>
      <w:r>
        <w:rPr>
          <w:rFonts w:hint="eastAsia" w:ascii="宋体" w:hAnsi="宋体"/>
          <w:bCs/>
          <w:color w:val="000000" w:themeColor="text1"/>
          <w:sz w:val="24"/>
          <w:szCs w:val="24"/>
        </w:rPr>
        <w:t>、决不向采购人、</w:t>
      </w:r>
      <w:r>
        <w:rPr>
          <w:rFonts w:hint="eastAsia" w:ascii="宋体" w:hAnsi="宋体"/>
          <w:bCs/>
          <w:sz w:val="24"/>
          <w:szCs w:val="24"/>
        </w:rPr>
        <w:t>采购代理机构</w:t>
      </w:r>
      <w:r>
        <w:rPr>
          <w:rFonts w:hint="eastAsia" w:ascii="宋体" w:hAnsi="宋体"/>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供应商（盖章）：</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法定代表人或法定代表人授权代表签字或盖章：</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电话： 传真：</w:t>
      </w:r>
    </w:p>
    <w:p>
      <w:pPr>
        <w:spacing w:line="40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通讯地址： 邮编：</w:t>
      </w:r>
      <w:bookmarkStart w:id="74" w:name="_Toc55147054"/>
    </w:p>
    <w:p>
      <w:pPr>
        <w:widowControl/>
        <w:jc w:val="left"/>
        <w:rPr>
          <w:rFonts w:ascii="黑体" w:hAnsi="黑体" w:eastAsia="黑体"/>
          <w:sz w:val="24"/>
          <w:szCs w:val="24"/>
        </w:rPr>
      </w:pPr>
      <w:r>
        <w:rPr>
          <w:rFonts w:ascii="黑体" w:hAnsi="黑体" w:eastAsia="黑体"/>
          <w:sz w:val="24"/>
          <w:szCs w:val="24"/>
        </w:rPr>
        <w:br w:type="page"/>
      </w:r>
    </w:p>
    <w:p>
      <w:pPr>
        <w:rPr>
          <w:rFonts w:ascii="黑体" w:hAnsi="黑体" w:eastAsia="黑体"/>
          <w:sz w:val="24"/>
          <w:szCs w:val="24"/>
        </w:rPr>
      </w:pPr>
      <w:r>
        <w:rPr>
          <w:rFonts w:hint="eastAsia" w:ascii="黑体" w:hAnsi="黑体" w:eastAsia="黑体"/>
          <w:sz w:val="24"/>
          <w:szCs w:val="24"/>
        </w:rPr>
        <w:t>（二）</w:t>
      </w:r>
      <w:bookmarkEnd w:id="74"/>
      <w:r>
        <w:rPr>
          <w:rFonts w:hint="eastAsia" w:ascii="黑体" w:hAnsi="黑体" w:eastAsia="黑体"/>
          <w:sz w:val="24"/>
          <w:szCs w:val="24"/>
        </w:rPr>
        <w:t>关于资格的声明函（格式）</w:t>
      </w:r>
    </w:p>
    <w:p>
      <w:pPr>
        <w:spacing w:line="360" w:lineRule="auto"/>
        <w:rPr>
          <w:rFonts w:ascii="黑体" w:eastAsia="黑体"/>
          <w:bCs/>
          <w:color w:val="000000" w:themeColor="text1"/>
          <w:sz w:val="36"/>
        </w:rPr>
      </w:pPr>
    </w:p>
    <w:p>
      <w:pPr>
        <w:spacing w:line="480" w:lineRule="auto"/>
        <w:ind w:firstLine="560" w:firstLineChars="200"/>
        <w:jc w:val="center"/>
        <w:rPr>
          <w:rFonts w:ascii="黑体" w:hAnsi="黑体" w:eastAsia="黑体"/>
          <w:bCs/>
          <w:color w:val="000000" w:themeColor="text1"/>
          <w:sz w:val="28"/>
          <w:szCs w:val="28"/>
        </w:rPr>
      </w:pPr>
      <w:bookmarkStart w:id="75" w:name="报价方关于资格的声明函（格式）"/>
      <w:bookmarkEnd w:id="75"/>
      <w:r>
        <w:rPr>
          <w:rFonts w:hint="eastAsia" w:ascii="黑体" w:hAnsi="黑体" w:eastAsia="黑体"/>
          <w:bCs/>
          <w:color w:val="000000" w:themeColor="text1"/>
          <w:sz w:val="28"/>
          <w:szCs w:val="28"/>
        </w:rPr>
        <w:t>关于资格的声明函</w:t>
      </w:r>
    </w:p>
    <w:p>
      <w:pPr>
        <w:spacing w:line="480" w:lineRule="auto"/>
        <w:jc w:val="center"/>
        <w:rPr>
          <w:rFonts w:ascii="宋体"/>
          <w:bCs/>
          <w:color w:val="000000" w:themeColor="text1"/>
          <w:sz w:val="24"/>
          <w:szCs w:val="24"/>
        </w:rPr>
      </w:pP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江苏仁禾中衡工程咨询房地产估价有限公司：</w:t>
      </w:r>
    </w:p>
    <w:p>
      <w:pPr>
        <w:spacing w:line="360" w:lineRule="auto"/>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我公司（单位）参加本次项目（项目编号：）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Theme="minorEastAsia" w:hAnsiTheme="minorEastAsia"/>
          <w:bCs/>
          <w:color w:val="000000" w:themeColor="text1"/>
          <w:sz w:val="24"/>
          <w:szCs w:val="24"/>
        </w:rPr>
      </w:pP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供应商（盖章）：</w:t>
      </w: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法定代表人或法定代表人授权代表（签字或盖章）：</w:t>
      </w:r>
    </w:p>
    <w:p>
      <w:pPr>
        <w:spacing w:line="360" w:lineRule="auto"/>
        <w:rPr>
          <w:rFonts w:asciiTheme="minorEastAsia" w:hAnsiTheme="minorEastAsia"/>
          <w:bCs/>
          <w:color w:val="000000" w:themeColor="text1"/>
          <w:sz w:val="24"/>
          <w:szCs w:val="24"/>
        </w:rPr>
      </w:pPr>
      <w:r>
        <w:rPr>
          <w:rFonts w:asciiTheme="minorEastAsia" w:hAnsiTheme="minorEastAsia"/>
          <w:sz w:val="24"/>
          <w:szCs w:val="24"/>
        </w:rPr>
        <w:t>日期:</w:t>
      </w:r>
      <w:r>
        <w:rPr>
          <w:rFonts w:hint="eastAsia" w:asciiTheme="minorEastAsia" w:hAnsiTheme="minorEastAsia"/>
          <w:bCs/>
          <w:sz w:val="24"/>
          <w:u w:val="single"/>
        </w:rPr>
        <w:t xml:space="preserve"> ______</w:t>
      </w:r>
      <w:r>
        <w:rPr>
          <w:rFonts w:hint="eastAsia" w:asciiTheme="minorEastAsia" w:hAnsiTheme="minorEastAsia"/>
          <w:bCs/>
          <w:sz w:val="24"/>
        </w:rPr>
        <w:t>年月日</w:t>
      </w: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备注：上述所称“重大违法记录”,是指供应商因违法经营受到刑事处罚或者责令停产停业、吊销许可证或者执照、较大数额罚款等行政处罚。</w:t>
      </w:r>
    </w:p>
    <w:p>
      <w:pPr>
        <w:widowControl/>
        <w:jc w:val="left"/>
        <w:rPr>
          <w:rFonts w:ascii="黑体" w:hAnsi="宋体" w:eastAsia="黑体"/>
          <w:bCs/>
          <w:color w:val="000000" w:themeColor="text1"/>
          <w:sz w:val="24"/>
          <w:szCs w:val="24"/>
        </w:rPr>
      </w:pPr>
      <w:r>
        <w:rPr>
          <w:rFonts w:ascii="黑体" w:hAnsi="宋体" w:eastAsia="黑体"/>
          <w:bCs/>
          <w:color w:val="000000" w:themeColor="text1"/>
          <w:sz w:val="24"/>
          <w:szCs w:val="24"/>
        </w:rPr>
        <w:br w:type="page"/>
      </w:r>
    </w:p>
    <w:p>
      <w:pPr>
        <w:rPr>
          <w:rFonts w:ascii="黑体" w:hAnsi="黑体" w:eastAsia="黑体"/>
          <w:sz w:val="24"/>
          <w:szCs w:val="24"/>
        </w:rPr>
      </w:pPr>
      <w:r>
        <w:rPr>
          <w:rFonts w:hint="eastAsia" w:ascii="黑体" w:hAnsi="黑体" w:eastAsia="黑体"/>
          <w:sz w:val="24"/>
          <w:szCs w:val="24"/>
        </w:rPr>
        <w:t>（三）联合体协议（格式）</w:t>
      </w:r>
    </w:p>
    <w:p>
      <w:pPr>
        <w:spacing w:line="360" w:lineRule="auto"/>
        <w:jc w:val="center"/>
        <w:rPr>
          <w:rFonts w:ascii="黑体" w:eastAsia="黑体"/>
          <w:bCs/>
          <w:color w:val="000000" w:themeColor="text1"/>
          <w:sz w:val="28"/>
          <w:szCs w:val="28"/>
        </w:rPr>
      </w:pPr>
      <w:r>
        <w:rPr>
          <w:rFonts w:hint="eastAsia" w:ascii="黑体" w:eastAsia="黑体"/>
          <w:bCs/>
          <w:color w:val="000000" w:themeColor="text1"/>
          <w:sz w:val="28"/>
          <w:szCs w:val="28"/>
        </w:rPr>
        <w:t>联合体协议</w:t>
      </w:r>
    </w:p>
    <w:p>
      <w:pPr>
        <w:spacing w:line="360" w:lineRule="auto"/>
        <w:rPr>
          <w:rFonts w:ascii="宋体" w:hAnsi="宋体"/>
          <w:sz w:val="24"/>
          <w:szCs w:val="21"/>
        </w:rPr>
      </w:pPr>
      <w:r>
        <w:rPr>
          <w:rFonts w:hint="eastAsia" w:ascii="宋体" w:hAnsi="宋体"/>
          <w:sz w:val="24"/>
          <w:szCs w:val="21"/>
        </w:rPr>
        <w:t>（联合体中各供应商全称）在此达成以下协议：</w:t>
      </w:r>
    </w:p>
    <w:p>
      <w:pPr>
        <w:spacing w:line="360" w:lineRule="auto"/>
        <w:ind w:firstLine="480" w:firstLineChars="200"/>
        <w:rPr>
          <w:rFonts w:ascii="宋体" w:hAnsi="宋体"/>
          <w:sz w:val="24"/>
          <w:szCs w:val="21"/>
        </w:rPr>
      </w:pPr>
      <w:r>
        <w:rPr>
          <w:rFonts w:hint="eastAsia" w:ascii="宋体" w:hAnsi="宋体"/>
          <w:sz w:val="24"/>
          <w:szCs w:val="21"/>
        </w:rPr>
        <w:t>1. 我们</w:t>
      </w:r>
      <w:r>
        <w:rPr>
          <w:rFonts w:hint="eastAsia" w:ascii="宋体" w:hAnsi="宋体"/>
          <w:sz w:val="24"/>
          <w:szCs w:val="21"/>
          <w:u w:val="single"/>
        </w:rPr>
        <w:t xml:space="preserve"> （供应商1），（供应商2） ，</w:t>
      </w:r>
      <w:r>
        <w:rPr>
          <w:rFonts w:ascii="宋体" w:hAnsi="宋体"/>
          <w:sz w:val="24"/>
          <w:szCs w:val="21"/>
          <w:u w:val="single"/>
        </w:rPr>
        <w:t>……</w:t>
      </w:r>
      <w:r>
        <w:rPr>
          <w:rFonts w:hint="eastAsia" w:ascii="宋体" w:hAnsi="宋体"/>
          <w:sz w:val="24"/>
          <w:szCs w:val="21"/>
        </w:rPr>
        <w:t>自愿组成联合体，参加采购编号为</w:t>
      </w:r>
      <w:r>
        <w:rPr>
          <w:rFonts w:hint="eastAsia" w:ascii="宋体" w:hAnsi="宋体"/>
          <w:sz w:val="24"/>
          <w:szCs w:val="21"/>
          <w:u w:val="single"/>
        </w:rPr>
        <w:t>（编号全称），（项目全称）</w:t>
      </w:r>
      <w:r>
        <w:rPr>
          <w:rFonts w:hint="eastAsia" w:ascii="宋体" w:hAnsi="宋体"/>
          <w:sz w:val="24"/>
          <w:szCs w:val="21"/>
        </w:rPr>
        <w:t>项目的政府采购活动，我联合体指定</w:t>
      </w:r>
      <w:r>
        <w:rPr>
          <w:rFonts w:hint="eastAsia" w:ascii="宋体" w:hAnsi="宋体"/>
          <w:sz w:val="24"/>
          <w:szCs w:val="21"/>
          <w:u w:val="single"/>
        </w:rPr>
        <w:t>（供应商*）</w:t>
      </w:r>
      <w:r>
        <w:rPr>
          <w:rFonts w:hint="eastAsia" w:ascii="宋体" w:hAnsi="宋体"/>
          <w:sz w:val="24"/>
          <w:szCs w:val="21"/>
        </w:rPr>
        <w:t>为牵头单位（牵头单位必须为联合体成员）。</w:t>
      </w:r>
    </w:p>
    <w:p>
      <w:pPr>
        <w:spacing w:line="360" w:lineRule="auto"/>
        <w:ind w:firstLine="480" w:firstLineChars="200"/>
        <w:rPr>
          <w:rFonts w:ascii="宋体" w:hAnsi="宋体"/>
          <w:sz w:val="24"/>
          <w:szCs w:val="21"/>
        </w:rPr>
      </w:pPr>
      <w:r>
        <w:rPr>
          <w:rFonts w:hint="eastAsia" w:ascii="宋体" w:hAnsi="宋体"/>
          <w:sz w:val="24"/>
          <w:szCs w:val="21"/>
        </w:rPr>
        <w:t>2. 若我们联合中标、成交，（供应商单位</w:t>
      </w:r>
      <w:r>
        <w:rPr>
          <w:rFonts w:ascii="宋体" w:hAnsi="宋体"/>
          <w:sz w:val="24"/>
          <w:szCs w:val="21"/>
        </w:rPr>
        <w:t>1</w:t>
      </w:r>
      <w:r>
        <w:rPr>
          <w:rFonts w:hint="eastAsia" w:ascii="宋体" w:hAnsi="宋体"/>
          <w:sz w:val="24"/>
          <w:szCs w:val="21"/>
        </w:rPr>
        <w:t>全称）实施项目中（工作内容）部分工作，并承担相应的责任。（供应商单位</w:t>
      </w:r>
      <w:r>
        <w:rPr>
          <w:rFonts w:ascii="宋体" w:hAnsi="宋体"/>
          <w:sz w:val="24"/>
          <w:szCs w:val="21"/>
        </w:rPr>
        <w:t>2</w:t>
      </w:r>
      <w:r>
        <w:rPr>
          <w:rFonts w:hint="eastAsia" w:ascii="宋体" w:hAnsi="宋体"/>
          <w:sz w:val="24"/>
          <w:szCs w:val="21"/>
        </w:rPr>
        <w:t>全称）实施项目中（工作内容）部分工作，并承担相应的责任……。（注：联合体中各供应商都应明示所承担的工作和相应的责任）。</w:t>
      </w:r>
    </w:p>
    <w:p>
      <w:pPr>
        <w:spacing w:line="360" w:lineRule="auto"/>
        <w:ind w:firstLine="480" w:firstLineChars="200"/>
        <w:rPr>
          <w:rFonts w:ascii="宋体" w:hAnsi="宋体"/>
          <w:sz w:val="24"/>
          <w:szCs w:val="21"/>
        </w:rPr>
      </w:pPr>
      <w:r>
        <w:rPr>
          <w:rFonts w:hint="eastAsia" w:ascii="宋体" w:hAnsi="宋体"/>
          <w:sz w:val="24"/>
          <w:szCs w:val="21"/>
        </w:rPr>
        <w:t>3. 其中（小型、微型企业/残疾人福利性单位/监狱企业全称）为（小型、微型企业/残疾人福利性单位/监狱企业）企业，且我们约定该公司/单位所承担的合同金额将占本项目合同总金额的</w:t>
      </w:r>
      <w:r>
        <w:rPr>
          <w:rFonts w:ascii="宋体" w:hAnsi="宋体"/>
          <w:sz w:val="24"/>
          <w:szCs w:val="21"/>
        </w:rPr>
        <w:t xml:space="preserve"> %</w:t>
      </w:r>
      <w:r>
        <w:rPr>
          <w:rFonts w:hint="eastAsia" w:ascii="宋体" w:hAnsi="宋体"/>
          <w:sz w:val="24"/>
          <w:szCs w:val="21"/>
        </w:rPr>
        <w:t>。</w:t>
      </w:r>
    </w:p>
    <w:p>
      <w:pPr>
        <w:spacing w:line="360" w:lineRule="auto"/>
        <w:ind w:firstLine="480" w:firstLineChars="200"/>
        <w:rPr>
          <w:rFonts w:ascii="宋体" w:hAnsi="宋体"/>
          <w:sz w:val="24"/>
          <w:szCs w:val="21"/>
        </w:rPr>
      </w:pPr>
    </w:p>
    <w:p>
      <w:pPr>
        <w:spacing w:line="360" w:lineRule="auto"/>
        <w:ind w:right="1200" w:firstLine="645"/>
        <w:jc w:val="right"/>
        <w:rPr>
          <w:rFonts w:ascii="宋体" w:hAnsi="宋体"/>
          <w:sz w:val="24"/>
          <w:szCs w:val="21"/>
        </w:rPr>
      </w:pPr>
      <w:r>
        <w:rPr>
          <w:rFonts w:hint="eastAsia" w:ascii="宋体" w:hAnsi="宋体"/>
          <w:bCs/>
          <w:color w:val="000000" w:themeColor="text1"/>
          <w:sz w:val="24"/>
          <w:szCs w:val="24"/>
        </w:rPr>
        <w:t>单位名称</w:t>
      </w:r>
      <w:r>
        <w:rPr>
          <w:rFonts w:hint="eastAsia" w:ascii="宋体" w:hAnsi="宋体"/>
          <w:sz w:val="24"/>
          <w:szCs w:val="21"/>
        </w:rPr>
        <w:t>（公章）：</w:t>
      </w:r>
    </w:p>
    <w:p>
      <w:pPr>
        <w:spacing w:line="360" w:lineRule="auto"/>
        <w:ind w:firstLine="645"/>
        <w:rPr>
          <w:rFonts w:ascii="宋体" w:hAnsi="宋体"/>
          <w:sz w:val="24"/>
          <w:szCs w:val="21"/>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年月日</w:t>
      </w:r>
    </w:p>
    <w:p>
      <w:pPr>
        <w:spacing w:line="560" w:lineRule="exact"/>
        <w:ind w:firstLine="645"/>
        <w:rPr>
          <w:rFonts w:ascii="宋体" w:hAnsi="宋体"/>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560" w:lineRule="exact"/>
        <w:ind w:firstLine="240" w:firstLineChars="100"/>
        <w:rPr>
          <w:rFonts w:ascii="宋体" w:hAnsi="宋体"/>
          <w:sz w:val="24"/>
          <w:szCs w:val="21"/>
        </w:rPr>
      </w:pPr>
    </w:p>
    <w:p>
      <w:pPr>
        <w:widowControl/>
        <w:jc w:val="left"/>
        <w:rPr>
          <w:rFonts w:ascii="黑体" w:hAnsi="宋体" w:eastAsia="黑体"/>
          <w:bCs/>
          <w:color w:val="000000" w:themeColor="text1"/>
          <w:sz w:val="24"/>
          <w:szCs w:val="24"/>
        </w:rPr>
      </w:pPr>
      <w:r>
        <w:rPr>
          <w:rFonts w:ascii="黑体" w:hAnsi="宋体" w:eastAsia="黑体"/>
          <w:bCs/>
          <w:color w:val="000000" w:themeColor="text1"/>
          <w:sz w:val="24"/>
          <w:szCs w:val="24"/>
        </w:rPr>
        <w:br w:type="page"/>
      </w:r>
    </w:p>
    <w:p>
      <w:pPr>
        <w:widowControl/>
        <w:jc w:val="left"/>
        <w:rPr>
          <w:rFonts w:ascii="黑体" w:hAnsi="宋体" w:eastAsia="黑体"/>
          <w:bCs/>
          <w:color w:val="000000" w:themeColor="text1"/>
          <w:sz w:val="24"/>
          <w:szCs w:val="24"/>
        </w:rPr>
      </w:pPr>
      <w:bookmarkStart w:id="76" w:name="_Toc55147055"/>
      <w:r>
        <w:rPr>
          <w:rFonts w:hint="eastAsia" w:ascii="黑体" w:hAnsi="宋体" w:eastAsia="黑体"/>
          <w:bCs/>
          <w:color w:val="000000" w:themeColor="text1"/>
          <w:sz w:val="24"/>
          <w:szCs w:val="24"/>
        </w:rPr>
        <w:t>（四）法定代表人资格证明书/法定代表人授权委托书</w:t>
      </w:r>
      <w:bookmarkEnd w:id="76"/>
      <w:r>
        <w:rPr>
          <w:rFonts w:hint="eastAsia" w:ascii="黑体" w:hAnsi="黑体" w:eastAsia="黑体"/>
          <w:sz w:val="24"/>
          <w:szCs w:val="24"/>
        </w:rPr>
        <w:t>（格式）</w:t>
      </w:r>
    </w:p>
    <w:p>
      <w:pPr>
        <w:spacing w:line="580" w:lineRule="exact"/>
        <w:jc w:val="center"/>
        <w:rPr>
          <w:rFonts w:ascii="黑体" w:hAnsi="黑体" w:eastAsia="黑体"/>
          <w:bCs/>
          <w:color w:val="000000" w:themeColor="text1"/>
          <w:sz w:val="28"/>
          <w:szCs w:val="28"/>
        </w:rPr>
      </w:pPr>
      <w:r>
        <w:rPr>
          <w:rFonts w:hint="eastAsia" w:ascii="黑体" w:hAnsi="黑体" w:eastAsia="黑体"/>
          <w:bCs/>
          <w:color w:val="000000" w:themeColor="text1"/>
          <w:sz w:val="28"/>
          <w:szCs w:val="28"/>
        </w:rPr>
        <w:t>法定代表人资格证明书</w:t>
      </w:r>
    </w:p>
    <w:p>
      <w:pPr>
        <w:spacing w:line="580" w:lineRule="exact"/>
        <w:jc w:val="center"/>
        <w:rPr>
          <w:rFonts w:ascii="黑体" w:hAnsi="黑体" w:eastAsia="黑体"/>
          <w:bCs/>
          <w:color w:val="000000" w:themeColor="text1"/>
          <w:sz w:val="28"/>
          <w:szCs w:val="28"/>
        </w:rPr>
      </w:pPr>
    </w:p>
    <w:p>
      <w:pPr>
        <w:spacing w:line="560" w:lineRule="exact"/>
        <w:rPr>
          <w:rFonts w:ascii="宋体" w:hAnsi="宋体"/>
          <w:sz w:val="24"/>
        </w:rPr>
      </w:pPr>
      <w:r>
        <w:rPr>
          <w:rFonts w:hint="eastAsia" w:ascii="宋体" w:hAnsi="宋体"/>
          <w:sz w:val="24"/>
        </w:rPr>
        <w:t>姓名</w:t>
      </w:r>
      <w:r>
        <w:rPr>
          <w:rFonts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性别</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年龄</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职务</w:t>
      </w:r>
      <w:r>
        <w:rPr>
          <w:rFonts w:ascii="宋体" w:hAnsi="宋体"/>
          <w:sz w:val="24"/>
        </w:rPr>
        <w:t>:</w:t>
      </w:r>
    </w:p>
    <w:p>
      <w:pPr>
        <w:spacing w:line="360" w:lineRule="auto"/>
        <w:rPr>
          <w:rFonts w:asciiTheme="minorEastAsia" w:hAnsiTheme="minorEastAsia"/>
          <w:sz w:val="24"/>
        </w:rPr>
      </w:pPr>
      <w:r>
        <w:rPr>
          <w:rFonts w:hint="eastAsia" w:asciiTheme="minorEastAsia" w:hAnsiTheme="minorEastAsia"/>
          <w:sz w:val="24"/>
        </w:rPr>
        <w:t>系</w:t>
      </w:r>
      <w:r>
        <w:rPr>
          <w:rFonts w:asciiTheme="minorEastAsia" w:hAnsiTheme="minorEastAsia"/>
          <w:sz w:val="24"/>
          <w:u w:val="single"/>
        </w:rPr>
        <w:t xml:space="preserve">            </w:t>
      </w:r>
      <w:r>
        <w:rPr>
          <w:rFonts w:hint="eastAsia" w:asciiTheme="minorEastAsia" w:hAnsiTheme="minorEastAsia"/>
          <w:sz w:val="24"/>
        </w:rPr>
        <w:t>（供应商名称）的法定代表人。为实施项目（</w:t>
      </w:r>
      <w:r>
        <w:rPr>
          <w:rFonts w:hint="eastAsia" w:asciiTheme="minorEastAsia" w:hAnsiTheme="minorEastAsia"/>
          <w:bCs/>
          <w:color w:val="000000" w:themeColor="text1"/>
          <w:sz w:val="24"/>
          <w:szCs w:val="24"/>
        </w:rPr>
        <w:t>项目编号：</w:t>
      </w:r>
      <w:r>
        <w:rPr>
          <w:rFonts w:hint="eastAsia" w:asciiTheme="minorEastAsia" w:hAnsiTheme="minorEastAsia"/>
          <w:sz w:val="24"/>
        </w:rPr>
        <w:t>）的工作，签署上述项目的响应文件、进行合同谈判、签署合同和处理与之有关的一切事务。</w:t>
      </w:r>
    </w:p>
    <w:p>
      <w:pPr>
        <w:spacing w:line="360" w:lineRule="auto"/>
        <w:rPr>
          <w:rFonts w:asciiTheme="minorEastAsia" w:hAnsiTheme="minorEastAsia"/>
          <w:sz w:val="24"/>
        </w:rPr>
      </w:pPr>
      <w:r>
        <w:rPr>
          <w:rFonts w:hint="eastAsia" w:asciiTheme="minorEastAsia" w:hAnsiTheme="minorEastAsia"/>
          <w:sz w:val="24"/>
        </w:rPr>
        <w:t>特此证明。</w:t>
      </w:r>
    </w:p>
    <w:p>
      <w:pPr>
        <w:spacing w:line="560" w:lineRule="exact"/>
        <w:rPr>
          <w:rFonts w:ascii="宋体" w:hAnsi="宋体"/>
          <w:sz w:val="24"/>
        </w:rPr>
      </w:pPr>
    </w:p>
    <w:p>
      <w:pPr>
        <w:spacing w:line="560" w:lineRule="exact"/>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供应商：（公章）</w:t>
      </w:r>
    </w:p>
    <w:p>
      <w:pPr>
        <w:spacing w:line="360" w:lineRule="auto"/>
        <w:rPr>
          <w:rFonts w:ascii="宋体" w:hAnsi="宋体"/>
          <w:sz w:val="24"/>
        </w:rPr>
      </w:pPr>
      <w:r>
        <w:rPr>
          <w:rFonts w:ascii="宋体" w:hAnsi="宋体"/>
          <w:sz w:val="24"/>
        </w:rPr>
        <w:t xml:space="preserve">                       </w:t>
      </w:r>
      <w:r>
        <w:rPr>
          <w:rFonts w:hint="eastAsia" w:ascii="宋体" w:hAnsi="宋体"/>
          <w:sz w:val="24"/>
        </w:rPr>
        <w:t>法定代表人签字或盖章：</w:t>
      </w:r>
    </w:p>
    <w:p>
      <w:pPr>
        <w:spacing w:line="360" w:lineRule="auto"/>
        <w:ind w:firstLine="4320" w:firstLineChars="1800"/>
        <w:rPr>
          <w:rFonts w:ascii="宋体" w:hAnsi="宋体"/>
          <w:sz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年月日</w:t>
      </w:r>
    </w:p>
    <w:p>
      <w:pPr>
        <w:snapToGrid w:val="0"/>
        <w:spacing w:line="560" w:lineRule="exact"/>
        <w:rPr>
          <w:rFonts w:ascii="宋体" w:hAnsi="宋体"/>
          <w:sz w:val="24"/>
        </w:rPr>
      </w:pPr>
    </w:p>
    <w:p>
      <w:pPr>
        <w:snapToGrid w:val="0"/>
        <w:spacing w:line="560" w:lineRule="exact"/>
        <w:rPr>
          <w:rFonts w:ascii="宋体" w:hAnsi="宋体"/>
          <w:b/>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sz w:val="24"/>
        </w:rPr>
      </w:pPr>
      <w:r>
        <w:rPr>
          <w:rFonts w:hint="eastAsia" w:ascii="宋体" w:hAnsi="宋体"/>
          <w:sz w:val="24"/>
        </w:rPr>
        <w:t>法定代表人身份证</w:t>
      </w:r>
    </w:p>
    <w:p>
      <w:pPr>
        <w:autoSpaceDE w:val="0"/>
        <w:autoSpaceDN w:val="0"/>
        <w:adjustRightInd w:val="0"/>
        <w:rPr>
          <w:rFonts w:ascii="宋体" w:hAnsi="宋体"/>
          <w:sz w:val="24"/>
        </w:rPr>
      </w:pPr>
      <w:r>
        <w:rPr>
          <w:rFonts w:hint="eastAsia" w:ascii="宋体" w:hAnsi="宋体"/>
          <w:sz w:val="24"/>
        </w:rPr>
        <w:t>（双面复印件）粘贴处</w:t>
      </w: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widowControl/>
        <w:jc w:val="left"/>
        <w:rPr>
          <w:rFonts w:ascii="黑体" w:hAnsi="黑体" w:eastAsia="黑体"/>
          <w:bCs/>
          <w:color w:val="000000" w:themeColor="text1"/>
          <w:sz w:val="28"/>
          <w:szCs w:val="28"/>
        </w:rPr>
      </w:pPr>
      <w:r>
        <w:rPr>
          <w:rFonts w:ascii="黑体" w:hAnsi="黑体" w:eastAsia="黑体"/>
          <w:bCs/>
          <w:color w:val="000000" w:themeColor="text1"/>
          <w:sz w:val="28"/>
          <w:szCs w:val="28"/>
        </w:rPr>
        <w:br w:type="page"/>
      </w:r>
    </w:p>
    <w:p>
      <w:pPr>
        <w:spacing w:line="580" w:lineRule="exact"/>
        <w:jc w:val="center"/>
        <w:rPr>
          <w:rFonts w:ascii="黑体" w:hAnsi="黑体" w:eastAsia="黑体"/>
          <w:bCs/>
          <w:color w:val="000000" w:themeColor="text1"/>
          <w:sz w:val="28"/>
          <w:szCs w:val="28"/>
        </w:rPr>
      </w:pPr>
      <w:bookmarkStart w:id="77" w:name="_Toc55147056"/>
      <w:r>
        <w:rPr>
          <w:rFonts w:hint="eastAsia" w:ascii="黑体" w:hAnsi="黑体" w:eastAsia="黑体"/>
          <w:bCs/>
          <w:color w:val="000000" w:themeColor="text1"/>
          <w:sz w:val="28"/>
          <w:szCs w:val="28"/>
        </w:rPr>
        <w:t>法定代表人授权委托书</w:t>
      </w:r>
    </w:p>
    <w:p>
      <w:pPr>
        <w:spacing w:line="360" w:lineRule="auto"/>
        <w:jc w:val="center"/>
        <w:rPr>
          <w:rFonts w:ascii="楷体_GB2312" w:eastAsia="楷体_GB2312"/>
          <w:bCs/>
          <w:color w:val="000000" w:themeColor="text1"/>
          <w:sz w:val="36"/>
        </w:rPr>
      </w:pPr>
    </w:p>
    <w:p>
      <w:pPr>
        <w:spacing w:line="360" w:lineRule="auto"/>
        <w:ind w:firstLine="480" w:firstLineChars="200"/>
        <w:rPr>
          <w:rFonts w:ascii="宋体" w:hAnsi="宋体"/>
          <w:sz w:val="24"/>
        </w:rPr>
      </w:pPr>
      <w:r>
        <w:rPr>
          <w:rFonts w:hint="eastAsia" w:ascii="宋体" w:hAnsi="宋体"/>
          <w:sz w:val="24"/>
        </w:rPr>
        <w:t>本授权委托书声明：</w:t>
      </w:r>
    </w:p>
    <w:p>
      <w:pPr>
        <w:spacing w:line="360" w:lineRule="auto"/>
        <w:ind w:firstLine="480" w:firstLineChars="200"/>
        <w:rPr>
          <w:rFonts w:ascii="宋体" w:hAnsi="宋体"/>
          <w:sz w:val="24"/>
        </w:rPr>
      </w:pPr>
      <w:r>
        <w:rPr>
          <w:rFonts w:ascii="宋体" w:hAnsi="宋体"/>
          <w:sz w:val="24"/>
          <w:u w:val="single"/>
        </w:rPr>
        <w:t>______________________</w:t>
      </w:r>
      <w:r>
        <w:rPr>
          <w:rFonts w:hint="eastAsia" w:ascii="宋体" w:hAnsi="宋体"/>
          <w:sz w:val="24"/>
        </w:rPr>
        <w:t>（供应商名称）的</w:t>
      </w:r>
      <w:r>
        <w:rPr>
          <w:rFonts w:ascii="宋体" w:hAnsi="宋体"/>
          <w:sz w:val="24"/>
          <w:u w:val="single"/>
        </w:rPr>
        <w:t>____________</w:t>
      </w:r>
      <w:r>
        <w:rPr>
          <w:rFonts w:hint="eastAsia" w:ascii="宋体" w:hAnsi="宋体"/>
          <w:sz w:val="24"/>
        </w:rPr>
        <w:t>（法定代表人姓名、职务）代表供应商授权</w:t>
      </w:r>
      <w:r>
        <w:rPr>
          <w:rFonts w:ascii="宋体" w:hAnsi="宋体"/>
          <w:sz w:val="24"/>
          <w:u w:val="single"/>
        </w:rPr>
        <w:t>_____________</w:t>
      </w:r>
      <w:r>
        <w:rPr>
          <w:rFonts w:hint="eastAsia" w:ascii="宋体" w:hAnsi="宋体"/>
          <w:sz w:val="24"/>
        </w:rPr>
        <w:t>（被授权代表姓名）为</w:t>
      </w:r>
      <w:r>
        <w:rPr>
          <w:rFonts w:hint="eastAsia" w:ascii="宋体" w:hAnsi="宋体"/>
          <w:sz w:val="24"/>
          <w:u w:val="single"/>
        </w:rPr>
        <w:t xml:space="preserve">                  项目</w:t>
      </w:r>
      <w:r>
        <w:rPr>
          <w:rFonts w:hint="eastAsia" w:ascii="宋体" w:hAnsi="宋体"/>
          <w:sz w:val="24"/>
        </w:rPr>
        <w:t>（</w:t>
      </w:r>
      <w:r>
        <w:rPr>
          <w:rFonts w:hint="eastAsia" w:ascii="黑体" w:eastAsia="黑体"/>
          <w:bCs/>
          <w:color w:val="000000" w:themeColor="text1"/>
          <w:sz w:val="24"/>
          <w:szCs w:val="24"/>
        </w:rPr>
        <w:t>项目编号：</w:t>
      </w:r>
      <w:r>
        <w:rPr>
          <w:rFonts w:hint="eastAsia" w:ascii="宋体" w:hAnsi="宋体"/>
          <w:sz w:val="24"/>
        </w:rPr>
        <w:t>）报价的合法代理人，全权负责参加本次政府采购项目的报价、</w:t>
      </w:r>
      <w:r>
        <w:rPr>
          <w:rFonts w:hint="eastAsia" w:ascii="宋体" w:hAnsi="宋体"/>
          <w:bCs/>
          <w:color w:val="000000" w:themeColor="text1"/>
          <w:sz w:val="24"/>
          <w:szCs w:val="24"/>
        </w:rPr>
        <w:t>参与协商、签约</w:t>
      </w:r>
      <w:r>
        <w:rPr>
          <w:rFonts w:hint="eastAsia" w:ascii="宋体" w:hAnsi="宋体"/>
          <w:sz w:val="24"/>
        </w:rPr>
        <w:t>以及与之相关的各项工作。本供应商对代理人的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我公司（单位）对被授权代表的签名负全部责任。</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bCs/>
          <w:color w:val="000000" w:themeColor="text1"/>
          <w:sz w:val="24"/>
          <w:szCs w:val="24"/>
        </w:rPr>
      </w:pP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被授权代表情况：</w:t>
      </w:r>
    </w:p>
    <w:p>
      <w:pPr>
        <w:spacing w:line="360" w:lineRule="auto"/>
        <w:ind w:firstLine="676" w:firstLineChars="282"/>
        <w:rPr>
          <w:rFonts w:ascii="宋体"/>
          <w:bCs/>
          <w:color w:val="000000" w:themeColor="text1"/>
          <w:sz w:val="24"/>
          <w:szCs w:val="24"/>
        </w:rPr>
      </w:pPr>
      <w:r>
        <w:rPr>
          <w:rFonts w:hint="eastAsia" w:ascii="宋体" w:hAnsi="宋体"/>
          <w:bCs/>
          <w:color w:val="000000" w:themeColor="text1"/>
          <w:sz w:val="24"/>
          <w:szCs w:val="24"/>
        </w:rPr>
        <w:t>姓名：</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性别：</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电话：</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职务：</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单位名称（盖章）：</w:t>
      </w:r>
    </w:p>
    <w:p>
      <w:pPr>
        <w:spacing w:line="360" w:lineRule="auto"/>
        <w:ind w:firstLine="480" w:firstLineChars="200"/>
        <w:rPr>
          <w:rFonts w:ascii="宋体" w:hAnsi="宋体"/>
          <w:bCs/>
          <w:color w:val="000000" w:themeColor="text1"/>
          <w:sz w:val="24"/>
          <w:szCs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年月日</w:t>
      </w:r>
    </w:p>
    <w:p>
      <w:pPr>
        <w:spacing w:line="360" w:lineRule="auto"/>
        <w:ind w:firstLine="480" w:firstLineChars="200"/>
        <w:rPr>
          <w:rFonts w:ascii="宋体" w:hAnsi="宋体"/>
          <w:bCs/>
          <w:color w:val="000000" w:themeColor="text1"/>
          <w:sz w:val="24"/>
          <w:szCs w:val="24"/>
        </w:rPr>
      </w:pP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法定代表人（签字或盖章）：</w:t>
      </w:r>
      <w:r>
        <w:rPr>
          <w:rFonts w:hint="eastAsia" w:ascii="宋体" w:hAnsi="宋体"/>
          <w:bCs/>
          <w:sz w:val="24"/>
          <w:u w:val="single"/>
        </w:rPr>
        <w:t>_____________</w:t>
      </w:r>
    </w:p>
    <w:p>
      <w:pPr>
        <w:spacing w:line="360" w:lineRule="auto"/>
        <w:ind w:firstLine="480" w:firstLineChars="200"/>
        <w:rPr>
          <w:rFonts w:ascii="宋体"/>
          <w:bCs/>
          <w:color w:val="000000" w:themeColor="text1"/>
          <w:sz w:val="24"/>
          <w:szCs w:val="24"/>
        </w:rPr>
      </w:pPr>
      <w:r>
        <w:rPr>
          <w:rFonts w:hint="eastAsia" w:ascii="宋体" w:hAnsi="宋体"/>
          <w:bCs/>
          <w:sz w:val="24"/>
        </w:rPr>
        <w:t>代理人（签字或盖章）：</w:t>
      </w:r>
      <w:r>
        <w:rPr>
          <w:rFonts w:hint="eastAsia" w:ascii="宋体" w:hAnsi="宋体"/>
          <w:bCs/>
          <w:sz w:val="24"/>
          <w:u w:val="single"/>
        </w:rPr>
        <w:t>_____________</w:t>
      </w:r>
    </w:p>
    <w:p>
      <w:pPr>
        <w:spacing w:line="360" w:lineRule="auto"/>
        <w:ind w:firstLine="480" w:firstLineChars="200"/>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法定代表人身份证</w:t>
      </w:r>
    </w:p>
    <w:p>
      <w:pPr>
        <w:autoSpaceDE w:val="0"/>
        <w:autoSpaceDN w:val="0"/>
        <w:adjustRightInd w:val="0"/>
        <w:spacing w:line="360" w:lineRule="auto"/>
        <w:ind w:firstLine="240" w:firstLineChars="100"/>
        <w:rPr>
          <w:rFonts w:ascii="宋体" w:hAnsi="宋体"/>
          <w:sz w:val="24"/>
        </w:rPr>
      </w:pPr>
      <w:r>
        <w:rPr>
          <w:rFonts w:hint="eastAsia" w:ascii="宋体" w:hAnsi="宋体"/>
          <w:sz w:val="24"/>
        </w:rPr>
        <w:t>（双面复印件）粘贴处</w:t>
      </w:r>
    </w:p>
    <w:p>
      <w:pPr>
        <w:autoSpaceDE w:val="0"/>
        <w:autoSpaceDN w:val="0"/>
        <w:adjustRightInd w:val="0"/>
        <w:spacing w:line="360" w:lineRule="auto"/>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代理人身份证：</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（双面复印件）粘贴处</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备注：</w:t>
      </w:r>
    </w:p>
    <w:p>
      <w:pPr>
        <w:snapToGrid w:val="0"/>
        <w:spacing w:line="360" w:lineRule="auto"/>
        <w:ind w:firstLine="480" w:firstLineChars="200"/>
        <w:rPr>
          <w:rFonts w:ascii="宋体" w:hAnsi="宋体" w:cs="宋体"/>
          <w:sz w:val="24"/>
        </w:rPr>
      </w:pPr>
      <w:r>
        <w:rPr>
          <w:rFonts w:hint="eastAsia" w:ascii="宋体" w:hAnsi="宋体" w:cs="宋体"/>
          <w:sz w:val="24"/>
        </w:rPr>
        <w:t>1.法定代表人参加报价时，需携带法定代表人资格证明书和本人身份证原件。</w:t>
      </w:r>
    </w:p>
    <w:p>
      <w:pPr>
        <w:snapToGrid w:val="0"/>
        <w:spacing w:line="360" w:lineRule="auto"/>
        <w:ind w:firstLine="480" w:firstLineChars="200"/>
        <w:rPr>
          <w:rFonts w:ascii="宋体" w:hAnsi="宋体" w:cs="宋体"/>
          <w:sz w:val="24"/>
        </w:rPr>
      </w:pPr>
      <w:r>
        <w:rPr>
          <w:rFonts w:hint="eastAsia" w:ascii="宋体" w:hAnsi="宋体" w:cs="宋体"/>
          <w:sz w:val="24"/>
        </w:rPr>
        <w:t>2.代理人参加报价时，需携带法定代表人授权委托书和本人身份证原件。</w:t>
      </w:r>
    </w:p>
    <w:p>
      <w:pPr>
        <w:snapToGrid w:val="0"/>
        <w:spacing w:line="360" w:lineRule="auto"/>
        <w:ind w:firstLine="480" w:firstLineChars="200"/>
        <w:rPr>
          <w:rFonts w:ascii="宋体" w:hAnsi="宋体" w:cs="宋体"/>
          <w:sz w:val="24"/>
        </w:rPr>
      </w:pPr>
    </w:p>
    <w:p>
      <w:pPr>
        <w:widowControl/>
        <w:jc w:val="left"/>
        <w:rPr>
          <w:rFonts w:ascii="黑体" w:hAnsi="宋体" w:eastAsia="黑体"/>
          <w:bCs/>
          <w:color w:val="000000" w:themeColor="text1"/>
          <w:sz w:val="24"/>
          <w:szCs w:val="24"/>
        </w:rPr>
      </w:pPr>
      <w:r>
        <w:rPr>
          <w:rFonts w:hint="eastAsia" w:ascii="黑体" w:hAnsi="宋体" w:eastAsia="黑体"/>
          <w:bCs/>
          <w:color w:val="000000" w:themeColor="text1"/>
          <w:sz w:val="24"/>
          <w:szCs w:val="24"/>
        </w:rPr>
        <w:t>（五）</w:t>
      </w:r>
      <w:bookmarkEnd w:id="77"/>
      <w:bookmarkStart w:id="78" w:name="_Toc59000743"/>
      <w:r>
        <w:rPr>
          <w:rFonts w:hint="eastAsia" w:ascii="黑体" w:hAnsi="宋体" w:eastAsia="黑体"/>
          <w:bCs/>
          <w:color w:val="000000" w:themeColor="text1"/>
          <w:sz w:val="24"/>
          <w:szCs w:val="24"/>
        </w:rPr>
        <w:t>具备履行合同所必需的设备和专业技术能力的书面声明（格式）</w:t>
      </w:r>
    </w:p>
    <w:p>
      <w:pPr>
        <w:widowControl/>
        <w:jc w:val="left"/>
        <w:rPr>
          <w:rFonts w:ascii="黑体" w:hAnsi="宋体" w:eastAsia="黑体"/>
          <w:bCs/>
          <w:sz w:val="24"/>
          <w:szCs w:val="24"/>
        </w:rPr>
      </w:pPr>
    </w:p>
    <w:p>
      <w:pPr>
        <w:widowControl/>
        <w:jc w:val="left"/>
        <w:rPr>
          <w:rFonts w:ascii="黑体" w:hAnsi="宋体" w:eastAsia="黑体"/>
          <w:bCs/>
          <w:sz w:val="24"/>
          <w:szCs w:val="24"/>
        </w:rPr>
      </w:pPr>
    </w:p>
    <w:p>
      <w:pPr>
        <w:tabs>
          <w:tab w:val="left" w:pos="360"/>
        </w:tabs>
        <w:ind w:firstLine="561"/>
        <w:jc w:val="center"/>
        <w:rPr>
          <w:rFonts w:ascii="黑体" w:hAnsi="黑体" w:eastAsia="黑体" w:cs="Times New Roman"/>
          <w:sz w:val="28"/>
          <w:szCs w:val="28"/>
        </w:rPr>
      </w:pPr>
      <w:r>
        <w:rPr>
          <w:rFonts w:hint="eastAsia" w:ascii="黑体" w:hAnsi="黑体" w:eastAsia="黑体" w:cs="Times New Roman"/>
          <w:sz w:val="28"/>
          <w:szCs w:val="28"/>
        </w:rPr>
        <w:t>具备履行合同所必需的设备和专业技术能力的书面声明</w:t>
      </w:r>
      <w:bookmarkEnd w:id="78"/>
    </w:p>
    <w:p/>
    <w:p>
      <w:pPr>
        <w:spacing w:line="360" w:lineRule="auto"/>
        <w:ind w:firstLine="480" w:firstLineChars="200"/>
        <w:rPr>
          <w:rFonts w:ascii="宋体" w:hAnsi="宋体"/>
          <w:bCs/>
          <w:sz w:val="24"/>
        </w:rPr>
      </w:pPr>
      <w:r>
        <w:rPr>
          <w:rFonts w:hint="eastAsia" w:ascii="宋体" w:hAnsi="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bCs/>
          <w:sz w:val="24"/>
        </w:rPr>
      </w:pPr>
      <w:r>
        <w:rPr>
          <w:rFonts w:hint="eastAsia" w:ascii="宋体" w:hAnsi="宋体"/>
          <w:bCs/>
          <w:sz w:val="24"/>
        </w:rPr>
        <w:t xml:space="preserve">主要设备有：            </w:t>
      </w:r>
    </w:p>
    <w:p>
      <w:pPr>
        <w:spacing w:line="360" w:lineRule="auto"/>
        <w:ind w:firstLine="480" w:firstLineChars="200"/>
        <w:rPr>
          <w:rFonts w:ascii="宋体" w:hAnsi="宋体"/>
          <w:bCs/>
          <w:sz w:val="24"/>
        </w:rPr>
      </w:pPr>
      <w:r>
        <w:rPr>
          <w:rFonts w:hint="eastAsia" w:ascii="宋体" w:hAnsi="宋体"/>
          <w:bCs/>
          <w:sz w:val="24"/>
        </w:rPr>
        <w:t xml:space="preserve">主要专业技术能力有：  </w:t>
      </w:r>
    </w:p>
    <w:p>
      <w:pPr>
        <w:spacing w:line="460" w:lineRule="exact"/>
        <w:rPr>
          <w:rFonts w:ascii="宋体" w:hAnsi="宋体"/>
          <w:bCs/>
          <w:sz w:val="24"/>
        </w:rPr>
      </w:pPr>
    </w:p>
    <w:p>
      <w:pPr>
        <w:spacing w:line="460" w:lineRule="exact"/>
        <w:rPr>
          <w:rFonts w:ascii="宋体" w:hAnsi="宋体"/>
          <w:bCs/>
          <w:sz w:val="24"/>
        </w:rPr>
      </w:pPr>
    </w:p>
    <w:p>
      <w:pPr>
        <w:spacing w:line="460" w:lineRule="exact"/>
        <w:ind w:firstLine="3120" w:firstLineChars="1300"/>
        <w:jc w:val="left"/>
        <w:rPr>
          <w:rFonts w:ascii="宋体" w:hAnsi="宋体"/>
          <w:bCs/>
          <w:sz w:val="24"/>
        </w:rPr>
      </w:pPr>
      <w:r>
        <w:rPr>
          <w:rFonts w:hint="eastAsia" w:ascii="宋体" w:hAnsi="宋体"/>
          <w:bCs/>
          <w:sz w:val="24"/>
        </w:rPr>
        <w:t>单位名称（公章）：</w:t>
      </w:r>
    </w:p>
    <w:p>
      <w:pPr>
        <w:spacing w:line="460" w:lineRule="exact"/>
        <w:ind w:firstLine="3120" w:firstLineChars="1300"/>
        <w:jc w:val="left"/>
        <w:rPr>
          <w:rFonts w:ascii="宋体" w:hAnsi="宋体"/>
          <w:bCs/>
          <w:sz w:val="24"/>
        </w:rPr>
      </w:pPr>
      <w:r>
        <w:rPr>
          <w:rFonts w:hint="eastAsia" w:ascii="宋体" w:hAnsi="宋体"/>
          <w:bCs/>
          <w:sz w:val="24"/>
        </w:rPr>
        <w:t>法定代表人或代理人（签字或盖章）：</w:t>
      </w:r>
      <w:r>
        <w:rPr>
          <w:rFonts w:hint="eastAsia" w:ascii="宋体" w:hAnsi="宋体"/>
          <w:bCs/>
          <w:sz w:val="24"/>
          <w:u w:val="single"/>
        </w:rPr>
        <w:t>_____________</w:t>
      </w:r>
    </w:p>
    <w:p>
      <w:pPr>
        <w:spacing w:line="460" w:lineRule="exact"/>
        <w:ind w:firstLine="3120" w:firstLineChars="1300"/>
        <w:jc w:val="left"/>
        <w:rPr>
          <w:rFonts w:ascii="宋体" w:hAnsi="宋体"/>
          <w:bCs/>
          <w:sz w:val="24"/>
        </w:rPr>
      </w:pPr>
      <w:r>
        <w:rPr>
          <w:rFonts w:hint="eastAsia" w:ascii="宋体" w:hAnsi="宋体"/>
          <w:bCs/>
          <w:sz w:val="24"/>
        </w:rPr>
        <w:t>日期：</w:t>
      </w:r>
      <w:r>
        <w:rPr>
          <w:rFonts w:hint="eastAsia" w:ascii="宋体" w:hAnsi="宋体"/>
          <w:bCs/>
          <w:sz w:val="24"/>
          <w:u w:val="single"/>
        </w:rPr>
        <w:t>______</w:t>
      </w:r>
      <w:r>
        <w:rPr>
          <w:rFonts w:hint="eastAsia" w:ascii="宋体" w:hAnsi="宋体"/>
          <w:bCs/>
          <w:sz w:val="24"/>
        </w:rPr>
        <w:t>年月日</w:t>
      </w:r>
    </w:p>
    <w:p>
      <w:pPr>
        <w:widowControl/>
        <w:jc w:val="left"/>
        <w:rPr>
          <w:rFonts w:ascii="黑体" w:hAnsi="宋体" w:eastAsia="黑体"/>
          <w:bCs/>
          <w:color w:val="000000" w:themeColor="text1"/>
          <w:sz w:val="24"/>
          <w:szCs w:val="24"/>
        </w:rPr>
      </w:pPr>
    </w:p>
    <w:p>
      <w:pPr>
        <w:spacing w:line="580" w:lineRule="exact"/>
        <w:ind w:firstLine="480" w:firstLineChars="200"/>
        <w:jc w:val="left"/>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widowControl/>
        <w:jc w:val="left"/>
        <w:rPr>
          <w:rFonts w:ascii="宋体" w:hAnsi="宋体"/>
          <w:bCs/>
          <w:color w:val="000000" w:themeColor="text1"/>
          <w:sz w:val="24"/>
          <w:szCs w:val="24"/>
        </w:rPr>
      </w:pPr>
      <w:r>
        <w:rPr>
          <w:rFonts w:ascii="宋体" w:hAnsi="宋体"/>
          <w:bCs/>
          <w:color w:val="000000" w:themeColor="text1"/>
          <w:sz w:val="24"/>
          <w:szCs w:val="24"/>
        </w:rPr>
        <w:br w:type="page"/>
      </w:r>
    </w:p>
    <w:p>
      <w:pPr>
        <w:widowControl/>
        <w:jc w:val="left"/>
        <w:rPr>
          <w:rFonts w:ascii="宋体" w:hAnsi="宋体"/>
          <w:bCs/>
          <w:color w:val="000000" w:themeColor="text1"/>
          <w:sz w:val="24"/>
          <w:szCs w:val="24"/>
        </w:rPr>
      </w:pPr>
      <w:r>
        <w:rPr>
          <w:rFonts w:hint="eastAsia" w:ascii="黑体" w:hAnsi="宋体" w:eastAsia="黑体"/>
          <w:bCs/>
          <w:color w:val="000000" w:themeColor="text1"/>
          <w:sz w:val="24"/>
          <w:szCs w:val="24"/>
        </w:rPr>
        <w:t>（</w:t>
      </w:r>
      <w:r>
        <w:rPr>
          <w:rFonts w:hint="eastAsia" w:ascii="黑体" w:hAnsi="宋体" w:eastAsia="黑体"/>
          <w:bCs/>
          <w:color w:val="000000" w:themeColor="text1"/>
          <w:sz w:val="24"/>
          <w:szCs w:val="24"/>
          <w:lang w:val="en-US" w:eastAsia="zh-CN"/>
        </w:rPr>
        <w:t>六</w:t>
      </w:r>
      <w:r>
        <w:rPr>
          <w:rFonts w:hint="eastAsia" w:ascii="黑体" w:hAnsi="宋体" w:eastAsia="黑体"/>
          <w:bCs/>
          <w:color w:val="000000" w:themeColor="text1"/>
          <w:sz w:val="24"/>
          <w:szCs w:val="24"/>
        </w:rPr>
        <w:t>）参加政府采购活动前 3 年内在经营活动中没有重大违法记录的书面声明</w:t>
      </w:r>
      <w:r>
        <w:rPr>
          <w:rFonts w:hint="eastAsia" w:ascii="黑体" w:hAnsi="黑体" w:eastAsia="黑体"/>
          <w:sz w:val="24"/>
          <w:szCs w:val="24"/>
        </w:rPr>
        <w:t>（格式）</w:t>
      </w:r>
    </w:p>
    <w:p>
      <w:pPr>
        <w:spacing w:line="580" w:lineRule="exact"/>
        <w:rPr>
          <w:rFonts w:ascii="黑体" w:hAnsi="宋体" w:eastAsia="黑体"/>
          <w:bCs/>
          <w:color w:val="000000" w:themeColor="text1"/>
          <w:sz w:val="24"/>
          <w:szCs w:val="24"/>
        </w:rPr>
      </w:pPr>
    </w:p>
    <w:p>
      <w:pPr>
        <w:tabs>
          <w:tab w:val="left" w:pos="360"/>
        </w:tabs>
        <w:ind w:firstLine="561"/>
        <w:jc w:val="center"/>
        <w:rPr>
          <w:rFonts w:ascii="黑体" w:hAnsi="黑体" w:eastAsia="黑体" w:cs="Times New Roman"/>
          <w:sz w:val="28"/>
          <w:szCs w:val="28"/>
        </w:rPr>
      </w:pPr>
      <w:bookmarkStart w:id="79" w:name="_Toc59000745"/>
      <w:r>
        <w:rPr>
          <w:rFonts w:hint="eastAsia" w:ascii="黑体" w:hAnsi="黑体" w:eastAsia="黑体" w:cs="Times New Roman"/>
          <w:sz w:val="28"/>
          <w:szCs w:val="28"/>
        </w:rPr>
        <w:t>参加政府采购活动前 3 年内在经营活动中没有重大违法记录的书面声明</w:t>
      </w:r>
      <w:bookmarkEnd w:id="79"/>
    </w:p>
    <w:p>
      <w:pPr>
        <w:tabs>
          <w:tab w:val="left" w:pos="360"/>
        </w:tabs>
        <w:ind w:firstLine="561"/>
        <w:jc w:val="center"/>
        <w:rPr>
          <w:rFonts w:ascii="黑体" w:hAnsi="黑体" w:eastAsia="黑体" w:cs="Times New Roman"/>
          <w:sz w:val="28"/>
          <w:szCs w:val="28"/>
        </w:rPr>
      </w:pPr>
    </w:p>
    <w:p>
      <w:pPr>
        <w:tabs>
          <w:tab w:val="left" w:pos="360"/>
        </w:tabs>
        <w:ind w:firstLine="561"/>
        <w:jc w:val="center"/>
        <w:rPr>
          <w:rFonts w:hint="eastAsia" w:ascii="黑体" w:hAnsi="黑体" w:eastAsia="黑体" w:cs="Times New Roman"/>
          <w:sz w:val="28"/>
          <w:szCs w:val="28"/>
        </w:rPr>
      </w:pPr>
      <w:r>
        <w:rPr>
          <w:rFonts w:hint="eastAsia" w:ascii="黑体" w:hAnsi="黑体" w:eastAsia="黑体" w:cs="Times New Roman"/>
          <w:sz w:val="28"/>
          <w:szCs w:val="28"/>
        </w:rPr>
        <w:t>声  明</w:t>
      </w:r>
    </w:p>
    <w:p>
      <w:pPr>
        <w:spacing w:line="560" w:lineRule="exact"/>
        <w:rPr>
          <w:rFonts w:ascii="宋体" w:hAnsi="宋体"/>
          <w:b/>
          <w:bCs/>
          <w:sz w:val="32"/>
          <w:szCs w:val="32"/>
        </w:rPr>
      </w:pPr>
    </w:p>
    <w:p>
      <w:pPr>
        <w:snapToGrid w:val="0"/>
        <w:spacing w:line="360" w:lineRule="auto"/>
        <w:ind w:firstLine="480" w:firstLineChars="200"/>
        <w:rPr>
          <w:rFonts w:ascii="宋体" w:hAnsi="宋体"/>
          <w:sz w:val="24"/>
        </w:rPr>
      </w:pPr>
      <w:r>
        <w:rPr>
          <w:rFonts w:hint="eastAsia" w:ascii="宋体" w:hAnsi="宋体"/>
          <w:sz w:val="24"/>
        </w:rPr>
        <w:t>我</w:t>
      </w:r>
      <w:r>
        <w:rPr>
          <w:rFonts w:hint="eastAsia"/>
          <w:sz w:val="24"/>
        </w:rPr>
        <w:t>单位</w:t>
      </w:r>
      <w:r>
        <w:rPr>
          <w:rFonts w:hint="eastAsia" w:ascii="宋体" w:hAnsi="宋体"/>
          <w:sz w:val="24"/>
        </w:rPr>
        <w:t>郑重声明：参加本次政府采购活动前 3 年内，我</w:t>
      </w:r>
      <w:r>
        <w:rPr>
          <w:rFonts w:hint="eastAsia"/>
          <w:sz w:val="24"/>
        </w:rPr>
        <w:t>单位</w:t>
      </w:r>
      <w:r>
        <w:rPr>
          <w:rFonts w:hint="eastAsia" w:ascii="宋体" w:hAnsi="宋体"/>
          <w:sz w:val="24"/>
        </w:rPr>
        <w:t>在经营活动中没有因违法经营受到刑事处罚或者责令停产停业、吊销许可证或者执照、较大数额罚款等行政处罚。</w:t>
      </w:r>
    </w:p>
    <w:p>
      <w:pPr>
        <w:snapToGrid w:val="0"/>
        <w:spacing w:line="460" w:lineRule="exact"/>
        <w:rPr>
          <w:rFonts w:ascii="宋体" w:hAnsi="宋体"/>
          <w:sz w:val="24"/>
        </w:rPr>
      </w:pPr>
    </w:p>
    <w:p>
      <w:pPr>
        <w:snapToGrid w:val="0"/>
        <w:spacing w:line="460" w:lineRule="exact"/>
        <w:ind w:firstLine="3120" w:firstLineChars="1300"/>
        <w:rPr>
          <w:rFonts w:ascii="宋体" w:hAnsi="宋体"/>
          <w:sz w:val="24"/>
        </w:rPr>
      </w:pPr>
      <w:r>
        <w:rPr>
          <w:rFonts w:hint="eastAsia" w:ascii="宋体" w:hAnsi="宋体"/>
          <w:sz w:val="24"/>
        </w:rPr>
        <w:t>单位名称（公章）：</w:t>
      </w:r>
    </w:p>
    <w:p>
      <w:pPr>
        <w:snapToGrid w:val="0"/>
        <w:spacing w:line="460" w:lineRule="exact"/>
        <w:rPr>
          <w:rFonts w:ascii="宋体" w:hAnsi="宋体"/>
          <w:sz w:val="24"/>
        </w:rPr>
      </w:pPr>
      <w:r>
        <w:rPr>
          <w:rFonts w:hint="eastAsia" w:ascii="宋体" w:hAnsi="宋体"/>
          <w:sz w:val="24"/>
        </w:rPr>
        <w:t xml:space="preserve">                          法定代表人或代理人（签字或盖章）：</w:t>
      </w:r>
      <w:r>
        <w:rPr>
          <w:rFonts w:hint="eastAsia" w:ascii="宋体" w:hAnsi="宋体"/>
          <w:sz w:val="24"/>
          <w:u w:val="single"/>
        </w:rPr>
        <w:t>_______________</w:t>
      </w:r>
    </w:p>
    <w:p>
      <w:pPr>
        <w:spacing w:line="560" w:lineRule="exact"/>
        <w:ind w:firstLine="495"/>
        <w:rPr>
          <w:rFonts w:ascii="宋体" w:hAnsi="宋体"/>
          <w:sz w:val="24"/>
        </w:rPr>
      </w:pPr>
      <w:r>
        <w:rPr>
          <w:rFonts w:hint="eastAsia" w:ascii="宋体" w:hAnsi="宋体"/>
          <w:sz w:val="24"/>
        </w:rPr>
        <w:t xml:space="preserve">                      日期: </w:t>
      </w:r>
      <w:r>
        <w:rPr>
          <w:rFonts w:hint="eastAsia" w:ascii="宋体" w:hAnsi="宋体"/>
          <w:sz w:val="24"/>
          <w:u w:val="single"/>
        </w:rPr>
        <w:t>______</w:t>
      </w:r>
      <w:r>
        <w:rPr>
          <w:rFonts w:hint="eastAsia" w:ascii="宋体" w:hAnsi="宋体"/>
          <w:sz w:val="24"/>
        </w:rPr>
        <w:t>年月日</w:t>
      </w: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widowControl/>
        <w:jc w:val="left"/>
        <w:rPr>
          <w:rFonts w:ascii="宋体" w:hAnsi="宋体"/>
          <w:bCs/>
          <w:sz w:val="24"/>
        </w:rPr>
      </w:pPr>
      <w:r>
        <w:rPr>
          <w:rFonts w:ascii="宋体" w:hAnsi="宋体"/>
          <w:bCs/>
          <w:sz w:val="24"/>
        </w:rPr>
        <w:br w:type="page"/>
      </w:r>
    </w:p>
    <w:p>
      <w:pPr>
        <w:widowControl/>
        <w:jc w:val="left"/>
        <w:rPr>
          <w:rFonts w:ascii="黑体" w:hAnsi="宋体" w:eastAsia="黑体"/>
          <w:bCs/>
          <w:color w:val="000000" w:themeColor="text1"/>
          <w:sz w:val="24"/>
          <w:szCs w:val="24"/>
        </w:rPr>
      </w:pPr>
      <w:r>
        <w:rPr>
          <w:rFonts w:hint="eastAsia" w:ascii="黑体" w:hAnsi="宋体" w:eastAsia="黑体"/>
          <w:bCs/>
          <w:color w:val="000000" w:themeColor="text1"/>
          <w:sz w:val="24"/>
          <w:szCs w:val="24"/>
        </w:rPr>
        <w:t>（</w:t>
      </w:r>
      <w:r>
        <w:rPr>
          <w:rFonts w:hint="eastAsia" w:ascii="黑体" w:hAnsi="宋体" w:eastAsia="黑体"/>
          <w:bCs/>
          <w:color w:val="000000" w:themeColor="text1"/>
          <w:sz w:val="24"/>
          <w:szCs w:val="24"/>
          <w:lang w:val="en-US" w:eastAsia="zh-CN"/>
        </w:rPr>
        <w:t>七</w:t>
      </w:r>
      <w:r>
        <w:rPr>
          <w:rFonts w:hint="eastAsia" w:ascii="黑体" w:hAnsi="宋体" w:eastAsia="黑体"/>
          <w:bCs/>
          <w:color w:val="000000" w:themeColor="text1"/>
          <w:sz w:val="24"/>
          <w:szCs w:val="24"/>
        </w:rPr>
        <w:t>）项目人员配置表</w:t>
      </w:r>
      <w:bookmarkEnd w:id="73"/>
      <w:r>
        <w:rPr>
          <w:rFonts w:hint="eastAsia" w:ascii="黑体" w:hAnsi="黑体" w:eastAsia="黑体"/>
          <w:sz w:val="24"/>
          <w:szCs w:val="24"/>
        </w:rPr>
        <w:t>（格式）</w:t>
      </w:r>
    </w:p>
    <w:p>
      <w:pPr>
        <w:spacing w:line="360" w:lineRule="auto"/>
        <w:ind w:firstLine="480" w:firstLineChars="200"/>
        <w:rPr>
          <w:color w:val="000000" w:themeColor="text1"/>
          <w:sz w:val="24"/>
          <w:szCs w:val="24"/>
        </w:rPr>
      </w:pPr>
    </w:p>
    <w:p>
      <w:pPr>
        <w:jc w:val="center"/>
        <w:rPr>
          <w:rFonts w:ascii="黑体" w:hAnsi="黑体" w:eastAsia="黑体"/>
          <w:sz w:val="28"/>
          <w:szCs w:val="28"/>
        </w:rPr>
      </w:pPr>
      <w:r>
        <w:rPr>
          <w:rFonts w:ascii="黑体" w:hAnsi="黑体" w:eastAsia="黑体"/>
          <w:sz w:val="28"/>
          <w:szCs w:val="28"/>
        </w:rPr>
        <w:t>项目人员配置</w:t>
      </w:r>
      <w:r>
        <w:rPr>
          <w:rFonts w:hint="eastAsia" w:ascii="黑体" w:hAnsi="黑体" w:eastAsia="黑体"/>
          <w:sz w:val="28"/>
          <w:szCs w:val="28"/>
        </w:rPr>
        <w:t>表</w:t>
      </w:r>
    </w:p>
    <w:p>
      <w:pPr>
        <w:ind w:firstLine="840" w:firstLineChars="350"/>
        <w:rPr>
          <w:rFonts w:ascii="黑体" w:hAnsi="Calibri" w:eastAsia="黑体"/>
          <w:bCs/>
          <w:sz w:val="24"/>
          <w:szCs w:val="24"/>
          <w:u w:val="single"/>
        </w:rPr>
      </w:pPr>
      <w:r>
        <w:rPr>
          <w:rFonts w:hint="eastAsia" w:ascii="黑体" w:hAnsi="Calibri" w:eastAsia="黑体"/>
          <w:bCs/>
          <w:sz w:val="24"/>
          <w:szCs w:val="24"/>
        </w:rPr>
        <w:t>供应商名称（盖章）：      采购项目编号：</w:t>
      </w:r>
    </w:p>
    <w:p>
      <w:pPr>
        <w:ind w:firstLine="840" w:firstLineChars="350"/>
        <w:rPr>
          <w:rFonts w:ascii="黑体" w:hAnsi="Calibri" w:eastAsia="黑体"/>
          <w:bCs/>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Calibri" w:hAnsi="Calibri"/>
                <w:b/>
                <w:sz w:val="24"/>
              </w:rPr>
            </w:pPr>
            <w:r>
              <w:rPr>
                <w:rFonts w:hint="eastAsia" w:ascii="Calibri" w:hAnsi="Calibri"/>
                <w:b/>
                <w:sz w:val="24"/>
              </w:rPr>
              <w:t>序号</w:t>
            </w:r>
          </w:p>
        </w:tc>
        <w:tc>
          <w:tcPr>
            <w:tcW w:w="2139" w:type="dxa"/>
            <w:vAlign w:val="center"/>
          </w:tcPr>
          <w:p>
            <w:pPr>
              <w:jc w:val="center"/>
              <w:rPr>
                <w:rFonts w:ascii="Calibri" w:hAnsi="Calibri"/>
                <w:b/>
                <w:sz w:val="24"/>
              </w:rPr>
            </w:pPr>
            <w:r>
              <w:rPr>
                <w:rFonts w:hint="eastAsia" w:ascii="Calibri" w:hAnsi="Calibri"/>
                <w:b/>
                <w:sz w:val="24"/>
              </w:rPr>
              <w:t>姓名</w:t>
            </w:r>
          </w:p>
        </w:tc>
        <w:tc>
          <w:tcPr>
            <w:tcW w:w="1134" w:type="dxa"/>
            <w:vAlign w:val="center"/>
          </w:tcPr>
          <w:p>
            <w:pPr>
              <w:jc w:val="center"/>
              <w:rPr>
                <w:rFonts w:ascii="Calibri" w:hAnsi="Calibri"/>
                <w:b/>
                <w:sz w:val="24"/>
              </w:rPr>
            </w:pPr>
            <w:r>
              <w:rPr>
                <w:rFonts w:hint="eastAsia" w:ascii="Calibri" w:hAnsi="Calibri"/>
                <w:b/>
                <w:sz w:val="24"/>
              </w:rPr>
              <w:t>年龄</w:t>
            </w:r>
          </w:p>
        </w:tc>
        <w:tc>
          <w:tcPr>
            <w:tcW w:w="2126" w:type="dxa"/>
            <w:vAlign w:val="center"/>
          </w:tcPr>
          <w:p>
            <w:pPr>
              <w:jc w:val="center"/>
              <w:rPr>
                <w:rFonts w:ascii="Calibri" w:hAnsi="Calibri"/>
                <w:b/>
                <w:sz w:val="24"/>
              </w:rPr>
            </w:pPr>
            <w:r>
              <w:rPr>
                <w:rFonts w:hint="eastAsia" w:ascii="Calibri" w:hAnsi="Calibri"/>
                <w:b/>
                <w:sz w:val="24"/>
              </w:rPr>
              <w:t>本项目职责</w:t>
            </w:r>
          </w:p>
        </w:tc>
        <w:tc>
          <w:tcPr>
            <w:tcW w:w="1689" w:type="dxa"/>
            <w:vAlign w:val="center"/>
          </w:tcPr>
          <w:p>
            <w:pPr>
              <w:jc w:val="center"/>
              <w:rPr>
                <w:rFonts w:ascii="Calibri" w:hAnsi="Calibri"/>
                <w:b/>
                <w:sz w:val="24"/>
              </w:rPr>
            </w:pPr>
            <w:r>
              <w:rPr>
                <w:rFonts w:hint="eastAsia" w:ascii="Calibri" w:hAnsi="Calibri"/>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黑体" w:hAnsi="Calibri" w:eastAsia="黑体"/>
                <w:bCs/>
                <w:sz w:val="24"/>
                <w:szCs w:val="24"/>
              </w:rPr>
            </w:pPr>
          </w:p>
        </w:tc>
        <w:tc>
          <w:tcPr>
            <w:tcW w:w="1689" w:type="dxa"/>
          </w:tcPr>
          <w:p>
            <w:pPr>
              <w:jc w:val="center"/>
              <w:outlineLvl w:val="0"/>
              <w:rPr>
                <w:rFonts w:ascii="黑体" w:hAnsi="Calibri" w:eastAsia="黑体"/>
                <w:bCs/>
                <w:sz w:val="24"/>
                <w:szCs w:val="24"/>
              </w:rPr>
            </w:pPr>
          </w:p>
        </w:tc>
      </w:tr>
    </w:tbl>
    <w:p>
      <w:pPr>
        <w:rPr>
          <w:rFonts w:ascii="Calibri" w:hAnsi="Calibri"/>
          <w:b/>
          <w:bCs/>
          <w:color w:val="000000"/>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p>
    <w:p>
      <w:pPr>
        <w:rPr>
          <w:rFonts w:ascii="宋体" w:hAnsi="宋体"/>
          <w:bCs/>
          <w:color w:val="000000"/>
          <w:szCs w:val="21"/>
        </w:rPr>
      </w:pPr>
    </w:p>
    <w:p>
      <w:pPr>
        <w:spacing w:line="360" w:lineRule="auto"/>
        <w:ind w:firstLine="480" w:firstLineChars="200"/>
        <w:rPr>
          <w:color w:val="000000" w:themeColor="text1"/>
          <w:sz w:val="24"/>
          <w:szCs w:val="24"/>
        </w:rPr>
      </w:pPr>
      <w:r>
        <w:rPr>
          <w:rFonts w:hint="eastAsia"/>
          <w:color w:val="000000" w:themeColor="text1"/>
          <w:sz w:val="24"/>
          <w:szCs w:val="24"/>
        </w:rPr>
        <w:t>注：</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 表格不够可自行延长。</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 上表内容须提供近三个月中任意一个月份（不含报价当月））经社保部门确认的社保缴纳名单复印件（标注各人员所处位置）和相关证书复印件作为填列证明材料，证明材料请附在本表之后。</w:t>
      </w:r>
    </w:p>
    <w:p>
      <w:pPr>
        <w:widowControl/>
        <w:jc w:val="left"/>
        <w:rPr>
          <w:color w:val="000000" w:themeColor="text1"/>
          <w:sz w:val="24"/>
          <w:szCs w:val="24"/>
        </w:rPr>
      </w:pPr>
    </w:p>
    <w:p>
      <w:pPr>
        <w:spacing w:line="360" w:lineRule="auto"/>
        <w:rPr>
          <w:rFonts w:asciiTheme="minorEastAsia" w:hAnsiTheme="minorEastAsia"/>
          <w:color w:val="000000" w:themeColor="text1"/>
          <w:sz w:val="24"/>
          <w:szCs w:val="24"/>
        </w:rPr>
      </w:pPr>
      <w:r>
        <w:br w:type="page"/>
      </w:r>
      <w:r>
        <w:rPr>
          <w:rFonts w:hint="eastAsia" w:ascii="黑体" w:hAnsi="宋体" w:eastAsia="黑体"/>
          <w:bCs/>
          <w:color w:val="000000" w:themeColor="text1"/>
          <w:sz w:val="24"/>
          <w:szCs w:val="24"/>
        </w:rPr>
        <w:t>（</w:t>
      </w:r>
      <w:r>
        <w:rPr>
          <w:rFonts w:hint="eastAsia" w:ascii="黑体" w:hAnsi="宋体" w:eastAsia="黑体"/>
          <w:bCs/>
          <w:color w:val="000000" w:themeColor="text1"/>
          <w:sz w:val="24"/>
          <w:szCs w:val="24"/>
          <w:lang w:val="en-US" w:eastAsia="zh-CN"/>
        </w:rPr>
        <w:t>八</w:t>
      </w:r>
      <w:r>
        <w:rPr>
          <w:rFonts w:hint="eastAsia" w:ascii="黑体" w:hAnsi="宋体" w:eastAsia="黑体"/>
          <w:bCs/>
          <w:color w:val="000000" w:themeColor="text1"/>
          <w:sz w:val="24"/>
          <w:szCs w:val="24"/>
        </w:rPr>
        <w:t>）疫情期间参与政府采购活动开评标人员健康信息登记表</w:t>
      </w:r>
    </w:p>
    <w:p>
      <w:pPr>
        <w:jc w:val="center"/>
        <w:rPr>
          <w:rFonts w:ascii="Times New Roman" w:hAnsi="Times New Roman"/>
          <w:b/>
          <w:color w:val="000000"/>
          <w:sz w:val="28"/>
          <w:szCs w:val="28"/>
        </w:rPr>
      </w:pPr>
    </w:p>
    <w:p>
      <w:pPr>
        <w:spacing w:line="360" w:lineRule="auto"/>
        <w:jc w:val="center"/>
        <w:rPr>
          <w:rFonts w:ascii="黑体" w:hAnsi="黑体" w:eastAsia="黑体"/>
          <w:color w:val="000000"/>
          <w:sz w:val="28"/>
          <w:szCs w:val="28"/>
        </w:rPr>
      </w:pPr>
      <w:r>
        <w:rPr>
          <w:rFonts w:hint="eastAsia" w:ascii="黑体" w:hAnsi="黑体" w:eastAsia="黑体"/>
          <w:color w:val="000000"/>
          <w:sz w:val="28"/>
          <w:szCs w:val="28"/>
        </w:rPr>
        <w:t>疫情期间参与政府采购活动开评标人员健康信息登记表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姓名</w:t>
            </w:r>
          </w:p>
        </w:tc>
        <w:tc>
          <w:tcPr>
            <w:tcW w:w="1582" w:type="dxa"/>
            <w:vAlign w:val="center"/>
          </w:tcPr>
          <w:p>
            <w:pPr>
              <w:jc w:val="center"/>
              <w:rPr>
                <w:rFonts w:ascii="宋体" w:hAnsi="宋体"/>
                <w:sz w:val="24"/>
              </w:rPr>
            </w:pPr>
          </w:p>
        </w:tc>
        <w:tc>
          <w:tcPr>
            <w:tcW w:w="1537" w:type="dxa"/>
            <w:gridSpan w:val="3"/>
            <w:vAlign w:val="center"/>
          </w:tcPr>
          <w:p>
            <w:pPr>
              <w:jc w:val="center"/>
              <w:rPr>
                <w:rFonts w:ascii="宋体" w:hAnsi="宋体"/>
                <w:sz w:val="24"/>
              </w:rPr>
            </w:pPr>
            <w:r>
              <w:rPr>
                <w:rFonts w:hint="eastAsia" w:ascii="宋体" w:hAnsi="宋体"/>
                <w:sz w:val="24"/>
              </w:rPr>
              <w:t>身份证号码</w:t>
            </w:r>
          </w:p>
        </w:tc>
        <w:tc>
          <w:tcPr>
            <w:tcW w:w="348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单位名称</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单位地址</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个人住址</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单位电话</w:t>
            </w:r>
          </w:p>
        </w:tc>
        <w:tc>
          <w:tcPr>
            <w:tcW w:w="2142" w:type="dxa"/>
            <w:gridSpan w:val="3"/>
            <w:vAlign w:val="center"/>
          </w:tcPr>
          <w:p>
            <w:pPr>
              <w:jc w:val="center"/>
              <w:rPr>
                <w:rFonts w:ascii="宋体" w:hAnsi="宋体"/>
                <w:sz w:val="24"/>
              </w:rPr>
            </w:pPr>
          </w:p>
        </w:tc>
        <w:tc>
          <w:tcPr>
            <w:tcW w:w="1545" w:type="dxa"/>
            <w:gridSpan w:val="2"/>
            <w:vAlign w:val="center"/>
          </w:tcPr>
          <w:p>
            <w:pPr>
              <w:jc w:val="center"/>
              <w:rPr>
                <w:rFonts w:ascii="宋体" w:hAnsi="宋体"/>
                <w:sz w:val="24"/>
              </w:rPr>
            </w:pPr>
            <w:r>
              <w:rPr>
                <w:rFonts w:hint="eastAsia" w:ascii="宋体" w:hAnsi="宋体"/>
                <w:sz w:val="24"/>
              </w:rPr>
              <w:t>个人手机</w:t>
            </w:r>
          </w:p>
        </w:tc>
        <w:tc>
          <w:tcPr>
            <w:tcW w:w="29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人员身份</w:t>
            </w:r>
          </w:p>
        </w:tc>
        <w:tc>
          <w:tcPr>
            <w:tcW w:w="6601" w:type="dxa"/>
            <w:gridSpan w:val="6"/>
            <w:vAlign w:val="center"/>
          </w:tcPr>
          <w:p>
            <w:pPr>
              <w:jc w:val="center"/>
              <w:rPr>
                <w:rFonts w:ascii="宋体" w:hAnsi="宋体"/>
                <w:sz w:val="24"/>
              </w:rPr>
            </w:pPr>
            <w:r>
              <w:rPr>
                <w:rFonts w:hint="eastAsia" w:ascii="宋体" w:hAnsi="宋体"/>
                <w:sz w:val="24"/>
              </w:rPr>
              <w:t>□采购人代表 □投标人代表  □评标专家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ind w:firstLine="240" w:firstLineChars="100"/>
              <w:jc w:val="left"/>
              <w:rPr>
                <w:rFonts w:ascii="宋体" w:hAnsi="宋体"/>
                <w:sz w:val="24"/>
              </w:rPr>
            </w:pPr>
            <w:r>
              <w:rPr>
                <w:rFonts w:hint="eastAsia" w:ascii="宋体" w:hAnsi="宋体"/>
                <w:sz w:val="24"/>
              </w:rPr>
              <w:t>参加： □ 开标 □ 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项目名称</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jc w:val="center"/>
              <w:rPr>
                <w:rFonts w:ascii="宋体" w:hAnsi="宋体"/>
                <w:b/>
                <w:bCs/>
                <w:sz w:val="24"/>
              </w:rPr>
            </w:pPr>
            <w:r>
              <w:rPr>
                <w:rFonts w:hint="eastAsia" w:ascii="宋体" w:hAnsi="宋体"/>
                <w:b/>
                <w:bCs/>
                <w:sz w:val="24"/>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jc w:val="center"/>
              <w:rPr>
                <w:rFonts w:ascii="宋体" w:hAnsi="宋体"/>
                <w:sz w:val="24"/>
              </w:rPr>
            </w:pPr>
            <w:r>
              <w:rPr>
                <w:rFonts w:hint="eastAsia" w:ascii="宋体" w:hAnsi="宋体"/>
                <w:sz w:val="24"/>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97" w:type="dxa"/>
            <w:gridSpan w:val="7"/>
            <w:vAlign w:val="center"/>
          </w:tcPr>
          <w:p>
            <w:pPr>
              <w:jc w:val="center"/>
              <w:rPr>
                <w:rFonts w:ascii="宋体" w:hAnsi="宋体"/>
                <w:sz w:val="24"/>
              </w:rPr>
            </w:pPr>
            <w:r>
              <w:rPr>
                <w:rFonts w:hint="eastAsia" w:ascii="宋体" w:hAnsi="宋体"/>
                <w:sz w:val="24"/>
              </w:rPr>
              <w:t>近14天内是否来自（或途径）疫情重点地区和高风险地区？</w:t>
            </w:r>
          </w:p>
          <w:p>
            <w:pPr>
              <w:jc w:val="center"/>
              <w:rPr>
                <w:rFonts w:ascii="宋体" w:hAnsi="宋体"/>
                <w:sz w:val="24"/>
                <w:u w:val="single"/>
              </w:rPr>
            </w:pPr>
            <w:r>
              <w:rPr>
                <w:rFonts w:hint="eastAsia" w:ascii="宋体" w:hAnsi="宋体"/>
                <w:sz w:val="24"/>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jc w:val="center"/>
              <w:rPr>
                <w:rFonts w:ascii="宋体" w:hAnsi="宋体"/>
                <w:sz w:val="24"/>
              </w:rPr>
            </w:pPr>
            <w:r>
              <w:rPr>
                <w:rFonts w:hint="eastAsia" w:ascii="宋体" w:hAnsi="宋体"/>
                <w:sz w:val="24"/>
              </w:rPr>
              <w:t>近14天内是否离开过常州？ □否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离开常州往</w:t>
            </w:r>
          </w:p>
        </w:tc>
        <w:tc>
          <w:tcPr>
            <w:tcW w:w="2122" w:type="dxa"/>
            <w:gridSpan w:val="2"/>
            <w:vAlign w:val="center"/>
          </w:tcPr>
          <w:p>
            <w:pPr>
              <w:jc w:val="center"/>
              <w:rPr>
                <w:rFonts w:ascii="宋体" w:hAnsi="宋体"/>
                <w:sz w:val="24"/>
              </w:rPr>
            </w:pPr>
          </w:p>
        </w:tc>
        <w:tc>
          <w:tcPr>
            <w:tcW w:w="1565" w:type="dxa"/>
            <w:gridSpan w:val="3"/>
            <w:vAlign w:val="center"/>
          </w:tcPr>
          <w:p>
            <w:pPr>
              <w:jc w:val="center"/>
              <w:rPr>
                <w:rFonts w:ascii="宋体" w:hAnsi="宋体"/>
                <w:sz w:val="24"/>
              </w:rPr>
            </w:pPr>
            <w:r>
              <w:rPr>
                <w:rFonts w:hint="eastAsia" w:ascii="宋体" w:hAnsi="宋体"/>
                <w:sz w:val="24"/>
              </w:rPr>
              <w:t>返常日期</w:t>
            </w:r>
          </w:p>
        </w:tc>
        <w:tc>
          <w:tcPr>
            <w:tcW w:w="29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途径（换乘）</w:t>
            </w:r>
          </w:p>
        </w:tc>
        <w:tc>
          <w:tcPr>
            <w:tcW w:w="2122" w:type="dxa"/>
            <w:gridSpan w:val="2"/>
            <w:vAlign w:val="center"/>
          </w:tcPr>
          <w:p>
            <w:pPr>
              <w:jc w:val="center"/>
              <w:rPr>
                <w:rFonts w:ascii="宋体" w:hAnsi="宋体"/>
                <w:sz w:val="24"/>
              </w:rPr>
            </w:pPr>
          </w:p>
        </w:tc>
        <w:tc>
          <w:tcPr>
            <w:tcW w:w="1565" w:type="dxa"/>
            <w:gridSpan w:val="3"/>
            <w:vAlign w:val="center"/>
          </w:tcPr>
          <w:p>
            <w:pPr>
              <w:jc w:val="center"/>
              <w:rPr>
                <w:rFonts w:ascii="宋体" w:hAnsi="宋体"/>
                <w:sz w:val="24"/>
              </w:rPr>
            </w:pPr>
            <w:r>
              <w:rPr>
                <w:rFonts w:hint="eastAsia" w:ascii="宋体" w:hAnsi="宋体"/>
                <w:sz w:val="24"/>
              </w:rPr>
              <w:t>途径日期</w:t>
            </w:r>
          </w:p>
        </w:tc>
        <w:tc>
          <w:tcPr>
            <w:tcW w:w="29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jc w:val="center"/>
        </w:trPr>
        <w:tc>
          <w:tcPr>
            <w:tcW w:w="8297" w:type="dxa"/>
            <w:gridSpan w:val="7"/>
            <w:vAlign w:val="center"/>
          </w:tcPr>
          <w:p>
            <w:pPr>
              <w:jc w:val="center"/>
              <w:rPr>
                <w:rFonts w:ascii="宋体" w:hAnsi="宋体"/>
                <w:sz w:val="24"/>
              </w:rPr>
            </w:pPr>
            <w:r>
              <w:rPr>
                <w:rFonts w:hint="eastAsia" w:ascii="宋体" w:hAnsi="宋体"/>
                <w:sz w:val="24"/>
              </w:rPr>
              <w:t>近14天内是否有与来自疫情重点地区和高风险地区的人员接触情况？</w:t>
            </w:r>
          </w:p>
          <w:p>
            <w:pPr>
              <w:numPr>
                <w:ilvl w:val="0"/>
                <w:numId w:val="7"/>
              </w:numPr>
              <w:jc w:val="center"/>
              <w:rPr>
                <w:rFonts w:ascii="宋体" w:hAnsi="宋体" w:eastAsia="宋体" w:cs="Times New Roman"/>
                <w:sz w:val="24"/>
                <w:szCs w:val="20"/>
              </w:rPr>
            </w:pPr>
            <w:r>
              <w:rPr>
                <w:rFonts w:hint="eastAsia" w:ascii="宋体" w:hAnsi="宋体" w:eastAsia="宋体" w:cs="Times New Roman"/>
                <w:sz w:val="24"/>
                <w:szCs w:val="20"/>
              </w:rPr>
              <w:t>否 □是 ，接触时间为：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82" w:hRule="atLeast"/>
          <w:jc w:val="center"/>
        </w:trPr>
        <w:tc>
          <w:tcPr>
            <w:tcW w:w="8297" w:type="dxa"/>
            <w:gridSpan w:val="7"/>
            <w:vAlign w:val="center"/>
          </w:tcPr>
          <w:p>
            <w:pPr>
              <w:ind w:firstLine="480" w:firstLineChars="200"/>
              <w:jc w:val="left"/>
              <w:rPr>
                <w:rFonts w:ascii="宋体" w:hAnsi="宋体"/>
                <w:sz w:val="24"/>
              </w:rPr>
            </w:pPr>
            <w:r>
              <w:rPr>
                <w:rFonts w:hint="eastAsia" w:ascii="宋体" w:hAnsi="宋体"/>
                <w:sz w:val="24"/>
              </w:rPr>
              <w:t>本人承诺以上信息真实准确。如有不实，愿承担由此引起的一切后果及法律责任。</w:t>
            </w:r>
          </w:p>
          <w:p>
            <w:pPr>
              <w:jc w:val="left"/>
              <w:rPr>
                <w:rFonts w:ascii="宋体" w:hAnsi="宋体"/>
                <w:sz w:val="24"/>
              </w:rPr>
            </w:pPr>
          </w:p>
          <w:p>
            <w:pPr>
              <w:wordWrap w:val="0"/>
              <w:jc w:val="left"/>
              <w:rPr>
                <w:rFonts w:ascii="宋体" w:hAnsi="宋体"/>
                <w:sz w:val="24"/>
              </w:rPr>
            </w:pPr>
            <w:r>
              <w:rPr>
                <w:rFonts w:hint="eastAsia" w:ascii="宋体" w:hAnsi="宋体"/>
                <w:sz w:val="24"/>
              </w:rPr>
              <w:t xml:space="preserve">申报人（签名）： </w:t>
            </w:r>
          </w:p>
          <w:p>
            <w:pPr>
              <w:jc w:val="left"/>
              <w:rPr>
                <w:rFonts w:ascii="宋体" w:hAnsi="宋体"/>
                <w:sz w:val="24"/>
              </w:rPr>
            </w:pPr>
          </w:p>
          <w:p>
            <w:pPr>
              <w:wordWrap w:val="0"/>
              <w:jc w:val="left"/>
              <w:rPr>
                <w:sz w:val="24"/>
              </w:rPr>
            </w:pPr>
            <w:r>
              <w:rPr>
                <w:rFonts w:hint="eastAsia"/>
                <w:sz w:val="24"/>
              </w:rPr>
              <w:t>单位（公章）：</w:t>
            </w:r>
          </w:p>
          <w:p>
            <w:pPr>
              <w:ind w:firstLine="4920" w:firstLineChars="2050"/>
              <w:jc w:val="left"/>
              <w:rPr>
                <w:sz w:val="24"/>
              </w:rPr>
            </w:pPr>
            <w:r>
              <w:rPr>
                <w:rFonts w:hint="eastAsia" w:ascii="宋体" w:hAnsi="宋体"/>
                <w:sz w:val="24"/>
              </w:rPr>
              <w:t>日期：</w:t>
            </w:r>
          </w:p>
        </w:tc>
      </w:tr>
    </w:tbl>
    <w:p>
      <w:pPr>
        <w:spacing w:line="360" w:lineRule="auto"/>
        <w:rPr>
          <w:rFonts w:ascii="宋体" w:hAnsi="宋体" w:eastAsia="宋体" w:cs="宋体"/>
          <w:b/>
          <w:sz w:val="24"/>
          <w:szCs w:val="24"/>
        </w:rPr>
      </w:pPr>
      <w:r>
        <w:rPr>
          <w:rFonts w:hint="eastAsia" w:ascii="宋体" w:hAnsi="宋体" w:eastAsia="宋体" w:cs="宋体"/>
          <w:b/>
          <w:sz w:val="24"/>
          <w:szCs w:val="24"/>
        </w:rPr>
        <w:t>存在瞒报或审查不严的企业，一经发现将严肃处理，在诚信体系中予以记录，并报有关部门依法追究责任。</w:t>
      </w:r>
    </w:p>
    <w:p>
      <w:pPr>
        <w:widowControl/>
        <w:jc w:val="left"/>
      </w:pPr>
      <w:r>
        <w:br w:type="page"/>
      </w:r>
    </w:p>
    <w:p>
      <w:pPr>
        <w:keepNext/>
        <w:spacing w:line="360" w:lineRule="auto"/>
        <w:jc w:val="center"/>
        <w:outlineLvl w:val="0"/>
        <w:rPr>
          <w:rFonts w:ascii="黑体" w:hAnsi="黑体" w:eastAsia="黑体" w:cs="Times New Roman"/>
          <w:bCs/>
          <w:kern w:val="0"/>
          <w:sz w:val="28"/>
          <w:szCs w:val="28"/>
        </w:rPr>
      </w:pPr>
      <w:bookmarkStart w:id="80" w:name="_Toc63173555"/>
      <w:bookmarkStart w:id="81" w:name="_Toc92976624"/>
      <w:r>
        <w:rPr>
          <w:rFonts w:hint="eastAsia" w:ascii="黑体" w:hAnsi="黑体" w:eastAsia="黑体" w:cs="Times New Roman"/>
          <w:bCs/>
          <w:kern w:val="0"/>
          <w:sz w:val="28"/>
          <w:szCs w:val="28"/>
        </w:rPr>
        <w:t>友 情 提 醒</w:t>
      </w:r>
      <w:bookmarkEnd w:id="80"/>
      <w:bookmarkEnd w:id="81"/>
    </w:p>
    <w:p>
      <w:pPr>
        <w:spacing w:line="360" w:lineRule="auto"/>
        <w:rPr>
          <w:rFonts w:eastAsia="宋体"/>
          <w:color w:val="000000" w:themeColor="text1"/>
          <w:sz w:val="24"/>
          <w:szCs w:val="24"/>
        </w:rPr>
      </w:pPr>
      <w:r>
        <w:rPr>
          <w:rFonts w:eastAsia="宋体"/>
          <w:color w:val="000000" w:themeColor="text1"/>
          <w:sz w:val="24"/>
          <w:szCs w:val="24"/>
        </w:rPr>
        <w:t>各供应商：</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您好！</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为了提高贵单位的响应文件的有效性，减少不必要的无效</w:t>
      </w:r>
      <w:r>
        <w:rPr>
          <w:rFonts w:hint="eastAsia" w:eastAsia="宋体"/>
          <w:color w:val="000000" w:themeColor="text1"/>
          <w:sz w:val="24"/>
          <w:szCs w:val="24"/>
        </w:rPr>
        <w:t>报价</w:t>
      </w:r>
      <w:r>
        <w:rPr>
          <w:rFonts w:eastAsia="宋体"/>
          <w:color w:val="000000" w:themeColor="text1"/>
          <w:sz w:val="24"/>
          <w:szCs w:val="24"/>
        </w:rPr>
        <w:t>，特友情提醒注意以下几点：</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1.请谨记采购文件上表述的各项事宜时间节点，特别是开标时间和地点，迟到的将一律不能进入开标室。</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3.响应文件应按要求密封，并在封袋上加盖供应商公章。</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 响应文件须按采购文件《二、供应商须知》及《六、响应文件格式》中相关要求装订、密封、标记、盖章和签署。响应文件封袋须加盖供应商公章。</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4.响应文件中的证明文件及资料需提供复印件并加盖公章，有要求提供原件或公证件的必须将原件或公证件携带至开标现场备查或核查。</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5.需要提供样品的，请严格按采购文件要求提供，同时注意密封、隐蔽标签的相关要求。</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6.因采购文件文字表述有限，鼓励您现场踏勘，可以在投标前充分了解现场环境、项目进度和质量要求等信息，为贵单位有针对性的制作响应文件积累充分的原始资料。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7.设定最高限价的，超过限价一律废标。</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8.请精心仔细审阅采购文件，特别是加粗部分的文字。如有疑问，请按采购文件要求进行询疑。</w:t>
      </w:r>
    </w:p>
    <w:p>
      <w:pPr>
        <w:spacing w:line="360" w:lineRule="auto"/>
        <w:ind w:firstLine="480" w:firstLineChars="200"/>
        <w:rPr>
          <w:rFonts w:asciiTheme="minorEastAsia" w:hAnsiTheme="minorEastAsia"/>
          <w:color w:val="000000" w:themeColor="text1"/>
          <w:sz w:val="24"/>
          <w:szCs w:val="24"/>
        </w:rPr>
      </w:pP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我单位十分欢迎贵单位对招标采购组织工作提出宝贵意见和建议。电话：</w:t>
      </w:r>
      <w:r>
        <w:rPr>
          <w:rFonts w:hint="eastAsia" w:eastAsia="宋体"/>
          <w:color w:val="000000" w:themeColor="text1"/>
          <w:sz w:val="24"/>
          <w:szCs w:val="24"/>
        </w:rPr>
        <w:t>18915091067</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最后祝贵单位投标成功！</w:t>
      </w:r>
    </w:p>
    <w:p>
      <w:pPr>
        <w:spacing w:line="360" w:lineRule="auto"/>
        <w:ind w:firstLine="480" w:firstLineChars="200"/>
        <w:rPr>
          <w:rFonts w:eastAsia="宋体"/>
          <w:color w:val="000000" w:themeColor="text1"/>
          <w:sz w:val="24"/>
          <w:szCs w:val="24"/>
        </w:rPr>
      </w:pPr>
    </w:p>
    <w:p>
      <w:pPr>
        <w:spacing w:line="360" w:lineRule="auto"/>
        <w:ind w:firstLine="480" w:firstLineChars="200"/>
        <w:rPr>
          <w:color w:val="000000" w:themeColor="text1"/>
          <w:sz w:val="24"/>
          <w:szCs w:val="24"/>
        </w:rPr>
      </w:pPr>
      <w:r>
        <w:rPr>
          <w:rFonts w:eastAsia="宋体"/>
          <w:color w:val="000000" w:themeColor="text1"/>
          <w:sz w:val="24"/>
          <w:szCs w:val="24"/>
        </w:rPr>
        <w:t>本采购文件的最终解释权归江苏仁禾中衡工程咨询房地产估价有限公司所有。</w:t>
      </w:r>
    </w:p>
    <w:p>
      <w:pPr>
        <w:spacing w:line="360" w:lineRule="auto"/>
        <w:jc w:val="center"/>
        <w:rPr>
          <w:rFonts w:ascii="黑体" w:hAnsi="黑体" w:eastAsia="黑体"/>
          <w:color w:val="000000" w:themeColor="text1"/>
          <w:sz w:val="28"/>
          <w:szCs w:val="28"/>
        </w:rPr>
      </w:pPr>
      <w:r>
        <w:rPr>
          <w:rFonts w:hint="eastAsia" w:ascii="黑体" w:hAnsi="黑体" w:eastAsia="黑体"/>
          <w:color w:val="000000" w:themeColor="text1"/>
          <w:sz w:val="28"/>
          <w:szCs w:val="28"/>
        </w:rPr>
        <w:t>（全文完）</w:t>
      </w:r>
    </w:p>
    <w:p>
      <w:pPr>
        <w:widowControl/>
        <w:jc w:val="left"/>
        <w:rPr>
          <w:rFonts w:ascii="黑体" w:hAnsi="黑体" w:eastAsia="黑体"/>
          <w:color w:val="000000" w:themeColor="text1"/>
          <w:sz w:val="28"/>
          <w:szCs w:val="28"/>
        </w:rPr>
      </w:pPr>
    </w:p>
    <w:sectPr>
      <w:headerReference r:id="rId12" w:type="first"/>
      <w:footerReference r:id="rId14" w:type="first"/>
      <w:headerReference r:id="rId10" w:type="default"/>
      <w:footerReference r:id="rId13" w:type="default"/>
      <w:headerReference r:id="rId11"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1"/>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807669"/>
    </w:sdtPr>
    <w:sdtContent>
      <w:p>
        <w:pPr>
          <w:pStyle w:val="21"/>
          <w:tabs>
            <w:tab w:val="left" w:pos="3900"/>
            <w:tab w:val="center" w:pos="4960"/>
          </w:tabs>
          <w:rPr>
            <w:rFonts w:asciiTheme="minorHAnsi" w:hAnsiTheme="minorHAnsi" w:eastAsiaTheme="minorEastAsia" w:cstheme="minorBidi"/>
            <w:kern w:val="2"/>
            <w:sz w:val="21"/>
            <w:szCs w:val="22"/>
          </w:rPr>
        </w:pPr>
        <w:r>
          <w:tab/>
        </w:r>
        <w:r>
          <w:tab/>
        </w:r>
        <w:r>
          <w:rPr>
            <w:rFonts w:asciiTheme="minorEastAsia" w:hAnsiTheme="minorEastAsia" w:eastAsiaTheme="minorEastAsia"/>
            <w:sz w:val="21"/>
            <w:szCs w:val="21"/>
            <w:lang w:val="zh-CN"/>
          </w:rPr>
          <w:t xml:space="preserve"> 第</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29</w:t>
        </w:r>
        <w:r>
          <w:rPr>
            <w:rFonts w:asciiTheme="minorEastAsia" w:hAnsiTheme="minorEastAsia" w:eastAsiaTheme="minorEastAsia"/>
            <w:bCs/>
            <w:sz w:val="21"/>
            <w:szCs w:val="21"/>
          </w:rPr>
          <w:fldChar w:fldCharType="end"/>
        </w:r>
        <w:r>
          <w:rPr>
            <w:rFonts w:asciiTheme="minorEastAsia" w:hAnsiTheme="minorEastAsia" w:eastAsiaTheme="minorEastAsia"/>
            <w:bCs/>
            <w:sz w:val="21"/>
            <w:szCs w:val="21"/>
          </w:rPr>
          <w:t>页</w:t>
        </w:r>
        <w:r>
          <w:rPr>
            <w:rFonts w:asciiTheme="minorEastAsia" w:hAnsiTheme="minorEastAsia" w:eastAsiaTheme="minorEastAsia"/>
            <w:sz w:val="21"/>
            <w:szCs w:val="21"/>
            <w:lang w:val="zh-CN"/>
          </w:rPr>
          <w:t>共</w:t>
        </w:r>
        <w:r>
          <w:rPr>
            <w:rFonts w:hint="eastAsia" w:asciiTheme="minorEastAsia" w:hAnsiTheme="minorEastAsia" w:eastAsiaTheme="minorEastAsia"/>
            <w:bCs/>
            <w:sz w:val="21"/>
            <w:szCs w:val="21"/>
          </w:rPr>
          <w:t>48</w:t>
        </w:r>
        <w:r>
          <w:rPr>
            <w:rFonts w:asciiTheme="minorEastAsia" w:hAnsiTheme="minorEastAsia" w:eastAsiaTheme="minorEastAsia"/>
            <w:bCs/>
            <w:sz w:val="21"/>
            <w:szCs w:val="21"/>
          </w:rPr>
          <w:t>页</w:t>
        </w:r>
      </w:p>
    </w:sdtContent>
  </w:sdt>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51</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w:t>
    </w:r>
    <w:r>
      <w:rPr>
        <w:rFonts w:hint="eastAsia" w:asciiTheme="minorEastAsia" w:hAnsiTheme="minorEastAsia" w:eastAsiaTheme="minorEastAsia"/>
        <w:sz w:val="21"/>
        <w:szCs w:val="21"/>
        <w:lang w:val="en-US" w:eastAsia="zh-CN"/>
      </w:rPr>
      <w:t>43</w:t>
    </w:r>
    <w:r>
      <w:rPr>
        <w:rFonts w:hint="eastAsia" w:asciiTheme="minorEastAsia" w:hAnsiTheme="minorEastAsia" w:eastAsiaTheme="minorEastAsia"/>
        <w:sz w:val="21"/>
        <w:szCs w:val="21"/>
        <w:lang w:val="zh-CN"/>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 PAGE </w:instrText>
    </w:r>
    <w:r>
      <w:rPr>
        <w:rStyle w:val="36"/>
      </w:rPr>
      <w:fldChar w:fldCharType="separate"/>
    </w:r>
    <w:r>
      <w:rPr>
        <w:rStyle w:val="36"/>
      </w:rPr>
      <w:t>1</w:t>
    </w:r>
    <w:r>
      <w:rPr>
        <w:rStyle w:val="36"/>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4097" o:spid="_x0000_s4097" o:spt="75" type="#_x0000_t75" style="position:absolute;left:0pt;height:400pt;width:398.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echatIMG157"/>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39"/>
    <w:multiLevelType w:val="multilevel"/>
    <w:tmpl w:val="02052639"/>
    <w:lvl w:ilvl="0" w:tentative="0">
      <w:start w:val="9"/>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9D064E4"/>
    <w:multiLevelType w:val="multilevel"/>
    <w:tmpl w:val="49D064E4"/>
    <w:lvl w:ilvl="0" w:tentative="0">
      <w:start w:val="5"/>
      <w:numFmt w:val="japaneseCounting"/>
      <w:lvlText w:val="%1、"/>
      <w:lvlJc w:val="left"/>
      <w:pPr>
        <w:ind w:left="1020" w:hanging="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1D54D18"/>
    <w:multiLevelType w:val="multilevel"/>
    <w:tmpl w:val="71D54D18"/>
    <w:lvl w:ilvl="0" w:tentative="0">
      <w:start w:val="1"/>
      <w:numFmt w:val="upperLetter"/>
      <w:pStyle w:val="8"/>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81E7A82"/>
    <w:multiLevelType w:val="multilevel"/>
    <w:tmpl w:val="781E7A82"/>
    <w:lvl w:ilvl="0" w:tentative="0">
      <w:start w:val="2016"/>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2940"/>
    <w:rsid w:val="000048AE"/>
    <w:rsid w:val="00007D9A"/>
    <w:rsid w:val="00011B5A"/>
    <w:rsid w:val="00021B35"/>
    <w:rsid w:val="00023F37"/>
    <w:rsid w:val="000243B4"/>
    <w:rsid w:val="00025959"/>
    <w:rsid w:val="00025CDA"/>
    <w:rsid w:val="00027136"/>
    <w:rsid w:val="000304B3"/>
    <w:rsid w:val="0003505C"/>
    <w:rsid w:val="0003756D"/>
    <w:rsid w:val="00040D3C"/>
    <w:rsid w:val="00044E11"/>
    <w:rsid w:val="000467D6"/>
    <w:rsid w:val="00050C6E"/>
    <w:rsid w:val="000542BD"/>
    <w:rsid w:val="00055659"/>
    <w:rsid w:val="00056FC0"/>
    <w:rsid w:val="00057274"/>
    <w:rsid w:val="00061D0D"/>
    <w:rsid w:val="0006261F"/>
    <w:rsid w:val="00064546"/>
    <w:rsid w:val="00064F9E"/>
    <w:rsid w:val="000661CB"/>
    <w:rsid w:val="00071CFE"/>
    <w:rsid w:val="00072395"/>
    <w:rsid w:val="0007466C"/>
    <w:rsid w:val="00081AD6"/>
    <w:rsid w:val="00085025"/>
    <w:rsid w:val="000853A3"/>
    <w:rsid w:val="00091725"/>
    <w:rsid w:val="00091930"/>
    <w:rsid w:val="000935DA"/>
    <w:rsid w:val="000951E0"/>
    <w:rsid w:val="00095D10"/>
    <w:rsid w:val="00096B78"/>
    <w:rsid w:val="00096F5C"/>
    <w:rsid w:val="000A01C4"/>
    <w:rsid w:val="000A611A"/>
    <w:rsid w:val="000A6A2A"/>
    <w:rsid w:val="000A7FF1"/>
    <w:rsid w:val="000B5A22"/>
    <w:rsid w:val="000C394C"/>
    <w:rsid w:val="000D0966"/>
    <w:rsid w:val="000D0EF6"/>
    <w:rsid w:val="000D3F14"/>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3089A"/>
    <w:rsid w:val="001313B9"/>
    <w:rsid w:val="0013250F"/>
    <w:rsid w:val="00133344"/>
    <w:rsid w:val="00133FEA"/>
    <w:rsid w:val="00136D32"/>
    <w:rsid w:val="00136D88"/>
    <w:rsid w:val="001370A3"/>
    <w:rsid w:val="0013765A"/>
    <w:rsid w:val="00141B65"/>
    <w:rsid w:val="00144009"/>
    <w:rsid w:val="00147551"/>
    <w:rsid w:val="00147D46"/>
    <w:rsid w:val="00151AAE"/>
    <w:rsid w:val="00153554"/>
    <w:rsid w:val="00153F19"/>
    <w:rsid w:val="00154EA1"/>
    <w:rsid w:val="00161412"/>
    <w:rsid w:val="0016169A"/>
    <w:rsid w:val="001645F2"/>
    <w:rsid w:val="00164C83"/>
    <w:rsid w:val="00166A1C"/>
    <w:rsid w:val="00166B9F"/>
    <w:rsid w:val="00170846"/>
    <w:rsid w:val="00170876"/>
    <w:rsid w:val="00171E6D"/>
    <w:rsid w:val="0017431C"/>
    <w:rsid w:val="001774EB"/>
    <w:rsid w:val="00180119"/>
    <w:rsid w:val="0018151D"/>
    <w:rsid w:val="001822DC"/>
    <w:rsid w:val="0018434D"/>
    <w:rsid w:val="00184781"/>
    <w:rsid w:val="001851C4"/>
    <w:rsid w:val="00197209"/>
    <w:rsid w:val="001A0B7A"/>
    <w:rsid w:val="001A3FBC"/>
    <w:rsid w:val="001A6D24"/>
    <w:rsid w:val="001A706E"/>
    <w:rsid w:val="001A7A41"/>
    <w:rsid w:val="001B3832"/>
    <w:rsid w:val="001B4A4A"/>
    <w:rsid w:val="001B4F76"/>
    <w:rsid w:val="001B76D5"/>
    <w:rsid w:val="001C0741"/>
    <w:rsid w:val="001C0B47"/>
    <w:rsid w:val="001C0DBC"/>
    <w:rsid w:val="001C213A"/>
    <w:rsid w:val="001D26CC"/>
    <w:rsid w:val="001D3F66"/>
    <w:rsid w:val="001E01CF"/>
    <w:rsid w:val="001E150A"/>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ED1"/>
    <w:rsid w:val="00223FE7"/>
    <w:rsid w:val="0022401B"/>
    <w:rsid w:val="00226E8B"/>
    <w:rsid w:val="00230D81"/>
    <w:rsid w:val="00242E47"/>
    <w:rsid w:val="0024665D"/>
    <w:rsid w:val="00250429"/>
    <w:rsid w:val="002520C9"/>
    <w:rsid w:val="00255030"/>
    <w:rsid w:val="002573B8"/>
    <w:rsid w:val="00260BC6"/>
    <w:rsid w:val="00261982"/>
    <w:rsid w:val="0026222C"/>
    <w:rsid w:val="00264142"/>
    <w:rsid w:val="002655D6"/>
    <w:rsid w:val="00274DB6"/>
    <w:rsid w:val="00277DD9"/>
    <w:rsid w:val="00280BDD"/>
    <w:rsid w:val="00282067"/>
    <w:rsid w:val="00282792"/>
    <w:rsid w:val="00283719"/>
    <w:rsid w:val="00284350"/>
    <w:rsid w:val="00287509"/>
    <w:rsid w:val="0028759F"/>
    <w:rsid w:val="002910AF"/>
    <w:rsid w:val="00294423"/>
    <w:rsid w:val="00294538"/>
    <w:rsid w:val="002946D4"/>
    <w:rsid w:val="00296BC7"/>
    <w:rsid w:val="002A6BFE"/>
    <w:rsid w:val="002A7AF7"/>
    <w:rsid w:val="002B10B3"/>
    <w:rsid w:val="002B150D"/>
    <w:rsid w:val="002B2C3C"/>
    <w:rsid w:val="002B4BBF"/>
    <w:rsid w:val="002B685A"/>
    <w:rsid w:val="002C6557"/>
    <w:rsid w:val="002D03B7"/>
    <w:rsid w:val="002D11A3"/>
    <w:rsid w:val="002D20DB"/>
    <w:rsid w:val="002D3797"/>
    <w:rsid w:val="002D6B2A"/>
    <w:rsid w:val="002D7397"/>
    <w:rsid w:val="002E1DAC"/>
    <w:rsid w:val="002E1F11"/>
    <w:rsid w:val="002E23ED"/>
    <w:rsid w:val="002E2B64"/>
    <w:rsid w:val="002E40BC"/>
    <w:rsid w:val="002E6F43"/>
    <w:rsid w:val="002F2892"/>
    <w:rsid w:val="002F34EC"/>
    <w:rsid w:val="002F72C2"/>
    <w:rsid w:val="00301DEA"/>
    <w:rsid w:val="00305C33"/>
    <w:rsid w:val="00305DB5"/>
    <w:rsid w:val="00305E08"/>
    <w:rsid w:val="003128B5"/>
    <w:rsid w:val="003140CE"/>
    <w:rsid w:val="00315664"/>
    <w:rsid w:val="00320C76"/>
    <w:rsid w:val="0032309C"/>
    <w:rsid w:val="003245E2"/>
    <w:rsid w:val="003268BA"/>
    <w:rsid w:val="00327E25"/>
    <w:rsid w:val="003319FF"/>
    <w:rsid w:val="0033294C"/>
    <w:rsid w:val="0033728E"/>
    <w:rsid w:val="003373D3"/>
    <w:rsid w:val="00340E56"/>
    <w:rsid w:val="00342126"/>
    <w:rsid w:val="003453B0"/>
    <w:rsid w:val="00345ED2"/>
    <w:rsid w:val="00346850"/>
    <w:rsid w:val="0035261B"/>
    <w:rsid w:val="0035426D"/>
    <w:rsid w:val="00356747"/>
    <w:rsid w:val="003606A1"/>
    <w:rsid w:val="00362634"/>
    <w:rsid w:val="003631D4"/>
    <w:rsid w:val="00372490"/>
    <w:rsid w:val="003724E1"/>
    <w:rsid w:val="00374785"/>
    <w:rsid w:val="00374F99"/>
    <w:rsid w:val="003750B1"/>
    <w:rsid w:val="00387D89"/>
    <w:rsid w:val="00392157"/>
    <w:rsid w:val="00393FB0"/>
    <w:rsid w:val="003973FB"/>
    <w:rsid w:val="003A1EEF"/>
    <w:rsid w:val="003A2B32"/>
    <w:rsid w:val="003A30AE"/>
    <w:rsid w:val="003A518E"/>
    <w:rsid w:val="003A6FD9"/>
    <w:rsid w:val="003B0177"/>
    <w:rsid w:val="003B1C96"/>
    <w:rsid w:val="003B5D97"/>
    <w:rsid w:val="003B6DDC"/>
    <w:rsid w:val="003C44D1"/>
    <w:rsid w:val="003C46E2"/>
    <w:rsid w:val="003C64FC"/>
    <w:rsid w:val="003D33EB"/>
    <w:rsid w:val="003D3D61"/>
    <w:rsid w:val="003D4C6E"/>
    <w:rsid w:val="003D7731"/>
    <w:rsid w:val="003E2FFD"/>
    <w:rsid w:val="003E5D27"/>
    <w:rsid w:val="003F0A6E"/>
    <w:rsid w:val="003F5DD0"/>
    <w:rsid w:val="0040069E"/>
    <w:rsid w:val="0040123D"/>
    <w:rsid w:val="00401E94"/>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3266"/>
    <w:rsid w:val="0043343C"/>
    <w:rsid w:val="0043414A"/>
    <w:rsid w:val="004345F2"/>
    <w:rsid w:val="00440226"/>
    <w:rsid w:val="00440403"/>
    <w:rsid w:val="00442C6E"/>
    <w:rsid w:val="0044360E"/>
    <w:rsid w:val="004438AB"/>
    <w:rsid w:val="00443AAC"/>
    <w:rsid w:val="004466E4"/>
    <w:rsid w:val="00450228"/>
    <w:rsid w:val="00452462"/>
    <w:rsid w:val="00457796"/>
    <w:rsid w:val="0046128A"/>
    <w:rsid w:val="00462729"/>
    <w:rsid w:val="004635E7"/>
    <w:rsid w:val="004649AD"/>
    <w:rsid w:val="004669BA"/>
    <w:rsid w:val="00470340"/>
    <w:rsid w:val="004703CF"/>
    <w:rsid w:val="00473CE7"/>
    <w:rsid w:val="00475381"/>
    <w:rsid w:val="00476318"/>
    <w:rsid w:val="00481371"/>
    <w:rsid w:val="00481DAC"/>
    <w:rsid w:val="004829BA"/>
    <w:rsid w:val="00482E88"/>
    <w:rsid w:val="00483830"/>
    <w:rsid w:val="00484AFF"/>
    <w:rsid w:val="00486A26"/>
    <w:rsid w:val="0048728E"/>
    <w:rsid w:val="00490A1F"/>
    <w:rsid w:val="00491052"/>
    <w:rsid w:val="004913BE"/>
    <w:rsid w:val="00492B24"/>
    <w:rsid w:val="00495540"/>
    <w:rsid w:val="004960B6"/>
    <w:rsid w:val="0049762D"/>
    <w:rsid w:val="004A242D"/>
    <w:rsid w:val="004A26DD"/>
    <w:rsid w:val="004A27F7"/>
    <w:rsid w:val="004A339B"/>
    <w:rsid w:val="004A473E"/>
    <w:rsid w:val="004A5848"/>
    <w:rsid w:val="004B28CE"/>
    <w:rsid w:val="004B47A7"/>
    <w:rsid w:val="004B5D69"/>
    <w:rsid w:val="004C1504"/>
    <w:rsid w:val="004C152C"/>
    <w:rsid w:val="004C296E"/>
    <w:rsid w:val="004C5AE3"/>
    <w:rsid w:val="004D0130"/>
    <w:rsid w:val="004D48F5"/>
    <w:rsid w:val="004E1640"/>
    <w:rsid w:val="004E3B03"/>
    <w:rsid w:val="004E683C"/>
    <w:rsid w:val="004F08E1"/>
    <w:rsid w:val="004F243A"/>
    <w:rsid w:val="004F4FA2"/>
    <w:rsid w:val="004F5617"/>
    <w:rsid w:val="004F580F"/>
    <w:rsid w:val="005032EC"/>
    <w:rsid w:val="00503ECB"/>
    <w:rsid w:val="00506D80"/>
    <w:rsid w:val="00507555"/>
    <w:rsid w:val="00513459"/>
    <w:rsid w:val="005175EA"/>
    <w:rsid w:val="005210E7"/>
    <w:rsid w:val="00521C9B"/>
    <w:rsid w:val="005222A7"/>
    <w:rsid w:val="0052245F"/>
    <w:rsid w:val="00522535"/>
    <w:rsid w:val="00525E72"/>
    <w:rsid w:val="00526482"/>
    <w:rsid w:val="00526615"/>
    <w:rsid w:val="00526B1D"/>
    <w:rsid w:val="00532396"/>
    <w:rsid w:val="005333BD"/>
    <w:rsid w:val="0053577E"/>
    <w:rsid w:val="00535C96"/>
    <w:rsid w:val="00542479"/>
    <w:rsid w:val="005430CC"/>
    <w:rsid w:val="00543C1B"/>
    <w:rsid w:val="00545525"/>
    <w:rsid w:val="005522C5"/>
    <w:rsid w:val="00553339"/>
    <w:rsid w:val="00556827"/>
    <w:rsid w:val="00561A77"/>
    <w:rsid w:val="00565000"/>
    <w:rsid w:val="00565EB9"/>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3369"/>
    <w:rsid w:val="005A34BA"/>
    <w:rsid w:val="005A662E"/>
    <w:rsid w:val="005B07B7"/>
    <w:rsid w:val="005B3341"/>
    <w:rsid w:val="005B3F52"/>
    <w:rsid w:val="005B67A5"/>
    <w:rsid w:val="005B7139"/>
    <w:rsid w:val="005B776F"/>
    <w:rsid w:val="005C05C5"/>
    <w:rsid w:val="005C1267"/>
    <w:rsid w:val="005C2F0F"/>
    <w:rsid w:val="005C73DA"/>
    <w:rsid w:val="005D3069"/>
    <w:rsid w:val="005D3EB4"/>
    <w:rsid w:val="005D458C"/>
    <w:rsid w:val="005D6D16"/>
    <w:rsid w:val="005E1294"/>
    <w:rsid w:val="005E140C"/>
    <w:rsid w:val="005E15AD"/>
    <w:rsid w:val="005E4D9F"/>
    <w:rsid w:val="005E53C9"/>
    <w:rsid w:val="005E5BA9"/>
    <w:rsid w:val="005F06CD"/>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5AA"/>
    <w:rsid w:val="00620E63"/>
    <w:rsid w:val="006214DA"/>
    <w:rsid w:val="00621763"/>
    <w:rsid w:val="00622710"/>
    <w:rsid w:val="006239C8"/>
    <w:rsid w:val="00627FF7"/>
    <w:rsid w:val="0063000B"/>
    <w:rsid w:val="00634FB9"/>
    <w:rsid w:val="00635C8B"/>
    <w:rsid w:val="0064361B"/>
    <w:rsid w:val="00644095"/>
    <w:rsid w:val="006445BC"/>
    <w:rsid w:val="006469F7"/>
    <w:rsid w:val="006474D8"/>
    <w:rsid w:val="00656D3B"/>
    <w:rsid w:val="006605B2"/>
    <w:rsid w:val="00660C5F"/>
    <w:rsid w:val="00660DA3"/>
    <w:rsid w:val="00661355"/>
    <w:rsid w:val="00667A1B"/>
    <w:rsid w:val="00671B4C"/>
    <w:rsid w:val="00675965"/>
    <w:rsid w:val="006777BA"/>
    <w:rsid w:val="0068083B"/>
    <w:rsid w:val="00680DF5"/>
    <w:rsid w:val="006818C4"/>
    <w:rsid w:val="00684D94"/>
    <w:rsid w:val="006856D2"/>
    <w:rsid w:val="00691240"/>
    <w:rsid w:val="006915F0"/>
    <w:rsid w:val="00697621"/>
    <w:rsid w:val="006A098D"/>
    <w:rsid w:val="006A184F"/>
    <w:rsid w:val="006A7A51"/>
    <w:rsid w:val="006B010D"/>
    <w:rsid w:val="006B1E99"/>
    <w:rsid w:val="006B445C"/>
    <w:rsid w:val="006B7845"/>
    <w:rsid w:val="006C02D1"/>
    <w:rsid w:val="006C2118"/>
    <w:rsid w:val="006C68A2"/>
    <w:rsid w:val="006C6980"/>
    <w:rsid w:val="006C6D06"/>
    <w:rsid w:val="006C7D90"/>
    <w:rsid w:val="006D1C29"/>
    <w:rsid w:val="006D3F61"/>
    <w:rsid w:val="006D41F6"/>
    <w:rsid w:val="006D6621"/>
    <w:rsid w:val="006D73B5"/>
    <w:rsid w:val="006E1633"/>
    <w:rsid w:val="006E346E"/>
    <w:rsid w:val="006F37BC"/>
    <w:rsid w:val="006F5130"/>
    <w:rsid w:val="006F545D"/>
    <w:rsid w:val="006F5AEB"/>
    <w:rsid w:val="006F5F68"/>
    <w:rsid w:val="006F62A7"/>
    <w:rsid w:val="006F6F4A"/>
    <w:rsid w:val="007008D6"/>
    <w:rsid w:val="0070121E"/>
    <w:rsid w:val="007017C2"/>
    <w:rsid w:val="00702D27"/>
    <w:rsid w:val="00702E0A"/>
    <w:rsid w:val="0070333F"/>
    <w:rsid w:val="0070463F"/>
    <w:rsid w:val="00704DB6"/>
    <w:rsid w:val="007061C1"/>
    <w:rsid w:val="007121EC"/>
    <w:rsid w:val="00722856"/>
    <w:rsid w:val="00722DAF"/>
    <w:rsid w:val="00723F71"/>
    <w:rsid w:val="00724587"/>
    <w:rsid w:val="00724C4E"/>
    <w:rsid w:val="00727356"/>
    <w:rsid w:val="00731841"/>
    <w:rsid w:val="00732F82"/>
    <w:rsid w:val="00733BB2"/>
    <w:rsid w:val="0073514C"/>
    <w:rsid w:val="00736C20"/>
    <w:rsid w:val="007403D6"/>
    <w:rsid w:val="00740FC9"/>
    <w:rsid w:val="00741676"/>
    <w:rsid w:val="00743825"/>
    <w:rsid w:val="00744A9F"/>
    <w:rsid w:val="007457FC"/>
    <w:rsid w:val="00745C42"/>
    <w:rsid w:val="007461A4"/>
    <w:rsid w:val="007467D8"/>
    <w:rsid w:val="00747BFB"/>
    <w:rsid w:val="00750061"/>
    <w:rsid w:val="00753D8E"/>
    <w:rsid w:val="0075660E"/>
    <w:rsid w:val="00761377"/>
    <w:rsid w:val="00762816"/>
    <w:rsid w:val="00763E37"/>
    <w:rsid w:val="00763F31"/>
    <w:rsid w:val="00766BE9"/>
    <w:rsid w:val="00766C58"/>
    <w:rsid w:val="00766DBD"/>
    <w:rsid w:val="00782E16"/>
    <w:rsid w:val="0078752C"/>
    <w:rsid w:val="007876FD"/>
    <w:rsid w:val="0079236A"/>
    <w:rsid w:val="0079249B"/>
    <w:rsid w:val="00792B4C"/>
    <w:rsid w:val="00793D1F"/>
    <w:rsid w:val="00793F90"/>
    <w:rsid w:val="00796065"/>
    <w:rsid w:val="007A2784"/>
    <w:rsid w:val="007A4216"/>
    <w:rsid w:val="007A4CBA"/>
    <w:rsid w:val="007A61D5"/>
    <w:rsid w:val="007A6C6B"/>
    <w:rsid w:val="007A7164"/>
    <w:rsid w:val="007C048D"/>
    <w:rsid w:val="007C200A"/>
    <w:rsid w:val="007D13A4"/>
    <w:rsid w:val="007D1F93"/>
    <w:rsid w:val="007D2AE4"/>
    <w:rsid w:val="007D3AFC"/>
    <w:rsid w:val="007D3D4F"/>
    <w:rsid w:val="007D409E"/>
    <w:rsid w:val="007D4FDA"/>
    <w:rsid w:val="007D6609"/>
    <w:rsid w:val="007D6A15"/>
    <w:rsid w:val="007D7487"/>
    <w:rsid w:val="007E1941"/>
    <w:rsid w:val="007E3868"/>
    <w:rsid w:val="007E5C21"/>
    <w:rsid w:val="007E7CF1"/>
    <w:rsid w:val="007F0718"/>
    <w:rsid w:val="007F08D6"/>
    <w:rsid w:val="007F265F"/>
    <w:rsid w:val="007F29CE"/>
    <w:rsid w:val="007F2B33"/>
    <w:rsid w:val="007F2EE7"/>
    <w:rsid w:val="007F46E9"/>
    <w:rsid w:val="007F4F3F"/>
    <w:rsid w:val="007F5F43"/>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42802"/>
    <w:rsid w:val="00845C90"/>
    <w:rsid w:val="0084602D"/>
    <w:rsid w:val="0084645C"/>
    <w:rsid w:val="008470A9"/>
    <w:rsid w:val="00847C32"/>
    <w:rsid w:val="00854E6D"/>
    <w:rsid w:val="0086163C"/>
    <w:rsid w:val="00861B70"/>
    <w:rsid w:val="00862560"/>
    <w:rsid w:val="00864082"/>
    <w:rsid w:val="00865EF6"/>
    <w:rsid w:val="008663DF"/>
    <w:rsid w:val="0086672B"/>
    <w:rsid w:val="0086699A"/>
    <w:rsid w:val="008676F7"/>
    <w:rsid w:val="008712A3"/>
    <w:rsid w:val="0087374E"/>
    <w:rsid w:val="00876B1C"/>
    <w:rsid w:val="00876BDE"/>
    <w:rsid w:val="00877260"/>
    <w:rsid w:val="0087730C"/>
    <w:rsid w:val="0088161F"/>
    <w:rsid w:val="00883341"/>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669"/>
    <w:rsid w:val="008A7FF8"/>
    <w:rsid w:val="008B0C6D"/>
    <w:rsid w:val="008B1A19"/>
    <w:rsid w:val="008B4B6D"/>
    <w:rsid w:val="008B531A"/>
    <w:rsid w:val="008B5E5F"/>
    <w:rsid w:val="008C0A02"/>
    <w:rsid w:val="008C3E2E"/>
    <w:rsid w:val="008C435E"/>
    <w:rsid w:val="008C4A77"/>
    <w:rsid w:val="008C5372"/>
    <w:rsid w:val="008C6F75"/>
    <w:rsid w:val="008D0661"/>
    <w:rsid w:val="008D075F"/>
    <w:rsid w:val="008D0D50"/>
    <w:rsid w:val="008D1CFF"/>
    <w:rsid w:val="008D480A"/>
    <w:rsid w:val="008E42CA"/>
    <w:rsid w:val="008E5A25"/>
    <w:rsid w:val="008F1893"/>
    <w:rsid w:val="008F4708"/>
    <w:rsid w:val="008F7BCF"/>
    <w:rsid w:val="0090009F"/>
    <w:rsid w:val="00900CD6"/>
    <w:rsid w:val="00900E71"/>
    <w:rsid w:val="00901172"/>
    <w:rsid w:val="009074EF"/>
    <w:rsid w:val="00912C28"/>
    <w:rsid w:val="009141DF"/>
    <w:rsid w:val="00914675"/>
    <w:rsid w:val="009152FE"/>
    <w:rsid w:val="00924DDB"/>
    <w:rsid w:val="00932960"/>
    <w:rsid w:val="0093404F"/>
    <w:rsid w:val="00940254"/>
    <w:rsid w:val="009409F6"/>
    <w:rsid w:val="00941939"/>
    <w:rsid w:val="00942491"/>
    <w:rsid w:val="00942E16"/>
    <w:rsid w:val="00943480"/>
    <w:rsid w:val="009438D9"/>
    <w:rsid w:val="00945C18"/>
    <w:rsid w:val="009515EA"/>
    <w:rsid w:val="00951AAD"/>
    <w:rsid w:val="009521C2"/>
    <w:rsid w:val="00955B68"/>
    <w:rsid w:val="00963166"/>
    <w:rsid w:val="009672D8"/>
    <w:rsid w:val="009705FE"/>
    <w:rsid w:val="00971EF0"/>
    <w:rsid w:val="00971F8D"/>
    <w:rsid w:val="00977902"/>
    <w:rsid w:val="00977B85"/>
    <w:rsid w:val="00981606"/>
    <w:rsid w:val="00981814"/>
    <w:rsid w:val="00983500"/>
    <w:rsid w:val="009863E9"/>
    <w:rsid w:val="0099184F"/>
    <w:rsid w:val="00991BF9"/>
    <w:rsid w:val="00993817"/>
    <w:rsid w:val="0099412D"/>
    <w:rsid w:val="009942E5"/>
    <w:rsid w:val="00994A86"/>
    <w:rsid w:val="00995F4A"/>
    <w:rsid w:val="009A23F9"/>
    <w:rsid w:val="009A78DF"/>
    <w:rsid w:val="009B7BB0"/>
    <w:rsid w:val="009C2EE1"/>
    <w:rsid w:val="009C7E4A"/>
    <w:rsid w:val="009D2DF7"/>
    <w:rsid w:val="009D4FDC"/>
    <w:rsid w:val="009D5E5A"/>
    <w:rsid w:val="009D621A"/>
    <w:rsid w:val="009D7C01"/>
    <w:rsid w:val="009E012B"/>
    <w:rsid w:val="009E0F4C"/>
    <w:rsid w:val="00A03484"/>
    <w:rsid w:val="00A044A8"/>
    <w:rsid w:val="00A07CB3"/>
    <w:rsid w:val="00A10335"/>
    <w:rsid w:val="00A11D6B"/>
    <w:rsid w:val="00A12125"/>
    <w:rsid w:val="00A123C4"/>
    <w:rsid w:val="00A15462"/>
    <w:rsid w:val="00A17C62"/>
    <w:rsid w:val="00A22E1F"/>
    <w:rsid w:val="00A24ADC"/>
    <w:rsid w:val="00A30557"/>
    <w:rsid w:val="00A311C2"/>
    <w:rsid w:val="00A31297"/>
    <w:rsid w:val="00A33178"/>
    <w:rsid w:val="00A33366"/>
    <w:rsid w:val="00A345AA"/>
    <w:rsid w:val="00A34AC4"/>
    <w:rsid w:val="00A35376"/>
    <w:rsid w:val="00A36AB2"/>
    <w:rsid w:val="00A37BC8"/>
    <w:rsid w:val="00A40CC0"/>
    <w:rsid w:val="00A45084"/>
    <w:rsid w:val="00A45208"/>
    <w:rsid w:val="00A47566"/>
    <w:rsid w:val="00A50F4D"/>
    <w:rsid w:val="00A52C98"/>
    <w:rsid w:val="00A52E96"/>
    <w:rsid w:val="00A53ED0"/>
    <w:rsid w:val="00A5740D"/>
    <w:rsid w:val="00A62DD4"/>
    <w:rsid w:val="00A6508F"/>
    <w:rsid w:val="00A70373"/>
    <w:rsid w:val="00A7044D"/>
    <w:rsid w:val="00A7070F"/>
    <w:rsid w:val="00A71A22"/>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73A2"/>
    <w:rsid w:val="00AA7B27"/>
    <w:rsid w:val="00AB0A41"/>
    <w:rsid w:val="00AB2031"/>
    <w:rsid w:val="00AB62BB"/>
    <w:rsid w:val="00AC10A8"/>
    <w:rsid w:val="00AC5887"/>
    <w:rsid w:val="00AC68A3"/>
    <w:rsid w:val="00AD1AD3"/>
    <w:rsid w:val="00AD1E17"/>
    <w:rsid w:val="00AD4F7A"/>
    <w:rsid w:val="00AD59C6"/>
    <w:rsid w:val="00AE0BF8"/>
    <w:rsid w:val="00AE119C"/>
    <w:rsid w:val="00AE18A3"/>
    <w:rsid w:val="00AE1D21"/>
    <w:rsid w:val="00AE2251"/>
    <w:rsid w:val="00AE5201"/>
    <w:rsid w:val="00AE6A85"/>
    <w:rsid w:val="00B0370E"/>
    <w:rsid w:val="00B049F0"/>
    <w:rsid w:val="00B05B4A"/>
    <w:rsid w:val="00B0737E"/>
    <w:rsid w:val="00B1059A"/>
    <w:rsid w:val="00B14D66"/>
    <w:rsid w:val="00B15872"/>
    <w:rsid w:val="00B1599E"/>
    <w:rsid w:val="00B15DB4"/>
    <w:rsid w:val="00B20C8D"/>
    <w:rsid w:val="00B20CF2"/>
    <w:rsid w:val="00B21D6F"/>
    <w:rsid w:val="00B23C0B"/>
    <w:rsid w:val="00B24336"/>
    <w:rsid w:val="00B24345"/>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D67"/>
    <w:rsid w:val="00B65504"/>
    <w:rsid w:val="00B65CF7"/>
    <w:rsid w:val="00B6729D"/>
    <w:rsid w:val="00B67BE4"/>
    <w:rsid w:val="00B73026"/>
    <w:rsid w:val="00B76912"/>
    <w:rsid w:val="00B840A2"/>
    <w:rsid w:val="00B91A6A"/>
    <w:rsid w:val="00B92D19"/>
    <w:rsid w:val="00B944C6"/>
    <w:rsid w:val="00B96226"/>
    <w:rsid w:val="00BA1230"/>
    <w:rsid w:val="00BA1450"/>
    <w:rsid w:val="00BA1EF2"/>
    <w:rsid w:val="00BA3FC9"/>
    <w:rsid w:val="00BA708B"/>
    <w:rsid w:val="00BA7281"/>
    <w:rsid w:val="00BB5C2B"/>
    <w:rsid w:val="00BB5D84"/>
    <w:rsid w:val="00BC6208"/>
    <w:rsid w:val="00BC67D9"/>
    <w:rsid w:val="00BD3F67"/>
    <w:rsid w:val="00BD46F2"/>
    <w:rsid w:val="00BD4706"/>
    <w:rsid w:val="00BD4E1B"/>
    <w:rsid w:val="00BD5215"/>
    <w:rsid w:val="00BD6F4C"/>
    <w:rsid w:val="00BE0257"/>
    <w:rsid w:val="00BE16D2"/>
    <w:rsid w:val="00BE19AC"/>
    <w:rsid w:val="00BE4247"/>
    <w:rsid w:val="00BE47DE"/>
    <w:rsid w:val="00BF00D8"/>
    <w:rsid w:val="00BF2E28"/>
    <w:rsid w:val="00BF4006"/>
    <w:rsid w:val="00BF4DA0"/>
    <w:rsid w:val="00BF582C"/>
    <w:rsid w:val="00BF67D7"/>
    <w:rsid w:val="00C005AF"/>
    <w:rsid w:val="00C01A0F"/>
    <w:rsid w:val="00C0261B"/>
    <w:rsid w:val="00C02EE1"/>
    <w:rsid w:val="00C07409"/>
    <w:rsid w:val="00C077F1"/>
    <w:rsid w:val="00C11787"/>
    <w:rsid w:val="00C12842"/>
    <w:rsid w:val="00C148F7"/>
    <w:rsid w:val="00C158B9"/>
    <w:rsid w:val="00C160EA"/>
    <w:rsid w:val="00C16CB1"/>
    <w:rsid w:val="00C20E61"/>
    <w:rsid w:val="00C20F33"/>
    <w:rsid w:val="00C22C0C"/>
    <w:rsid w:val="00C23F31"/>
    <w:rsid w:val="00C23FAA"/>
    <w:rsid w:val="00C273A9"/>
    <w:rsid w:val="00C3084B"/>
    <w:rsid w:val="00C32179"/>
    <w:rsid w:val="00C33D8C"/>
    <w:rsid w:val="00C3646B"/>
    <w:rsid w:val="00C365AA"/>
    <w:rsid w:val="00C40027"/>
    <w:rsid w:val="00C40ACA"/>
    <w:rsid w:val="00C422AE"/>
    <w:rsid w:val="00C42C72"/>
    <w:rsid w:val="00C45685"/>
    <w:rsid w:val="00C46B06"/>
    <w:rsid w:val="00C46C34"/>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9BC"/>
    <w:rsid w:val="00C74828"/>
    <w:rsid w:val="00C76010"/>
    <w:rsid w:val="00C8063F"/>
    <w:rsid w:val="00C82189"/>
    <w:rsid w:val="00C82C3C"/>
    <w:rsid w:val="00C82EA4"/>
    <w:rsid w:val="00C84452"/>
    <w:rsid w:val="00C8468B"/>
    <w:rsid w:val="00C900FE"/>
    <w:rsid w:val="00C920A7"/>
    <w:rsid w:val="00C925A2"/>
    <w:rsid w:val="00C93603"/>
    <w:rsid w:val="00C93808"/>
    <w:rsid w:val="00C952EE"/>
    <w:rsid w:val="00CA228C"/>
    <w:rsid w:val="00CA24DC"/>
    <w:rsid w:val="00CA2C2C"/>
    <w:rsid w:val="00CA5793"/>
    <w:rsid w:val="00CA5CD2"/>
    <w:rsid w:val="00CB1DFA"/>
    <w:rsid w:val="00CB37FE"/>
    <w:rsid w:val="00CB481B"/>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26A2"/>
    <w:rsid w:val="00CE50DC"/>
    <w:rsid w:val="00CE79DC"/>
    <w:rsid w:val="00CE7B2C"/>
    <w:rsid w:val="00CF2A13"/>
    <w:rsid w:val="00CF373C"/>
    <w:rsid w:val="00CF49F4"/>
    <w:rsid w:val="00CF4EF4"/>
    <w:rsid w:val="00CF591F"/>
    <w:rsid w:val="00CF6384"/>
    <w:rsid w:val="00D02A22"/>
    <w:rsid w:val="00D037D0"/>
    <w:rsid w:val="00D05F26"/>
    <w:rsid w:val="00D14AB0"/>
    <w:rsid w:val="00D151D8"/>
    <w:rsid w:val="00D21159"/>
    <w:rsid w:val="00D219B1"/>
    <w:rsid w:val="00D24BFB"/>
    <w:rsid w:val="00D2693E"/>
    <w:rsid w:val="00D26E15"/>
    <w:rsid w:val="00D26E2F"/>
    <w:rsid w:val="00D30EAE"/>
    <w:rsid w:val="00D331C8"/>
    <w:rsid w:val="00D344FE"/>
    <w:rsid w:val="00D3615A"/>
    <w:rsid w:val="00D4045D"/>
    <w:rsid w:val="00D419B2"/>
    <w:rsid w:val="00D42742"/>
    <w:rsid w:val="00D437C3"/>
    <w:rsid w:val="00D4430C"/>
    <w:rsid w:val="00D44571"/>
    <w:rsid w:val="00D44D9B"/>
    <w:rsid w:val="00D459B7"/>
    <w:rsid w:val="00D56B10"/>
    <w:rsid w:val="00D56FB3"/>
    <w:rsid w:val="00D6434A"/>
    <w:rsid w:val="00D711FC"/>
    <w:rsid w:val="00D71615"/>
    <w:rsid w:val="00D7259C"/>
    <w:rsid w:val="00D73609"/>
    <w:rsid w:val="00D744D6"/>
    <w:rsid w:val="00D77165"/>
    <w:rsid w:val="00D8192E"/>
    <w:rsid w:val="00D83C67"/>
    <w:rsid w:val="00D85A4A"/>
    <w:rsid w:val="00D85C8D"/>
    <w:rsid w:val="00D86895"/>
    <w:rsid w:val="00D870A3"/>
    <w:rsid w:val="00D90756"/>
    <w:rsid w:val="00D9200C"/>
    <w:rsid w:val="00D9261D"/>
    <w:rsid w:val="00D94C28"/>
    <w:rsid w:val="00D9727A"/>
    <w:rsid w:val="00D97D75"/>
    <w:rsid w:val="00D97D84"/>
    <w:rsid w:val="00D97F38"/>
    <w:rsid w:val="00DA4302"/>
    <w:rsid w:val="00DB0A68"/>
    <w:rsid w:val="00DB1399"/>
    <w:rsid w:val="00DB3378"/>
    <w:rsid w:val="00DB3B9E"/>
    <w:rsid w:val="00DB7163"/>
    <w:rsid w:val="00DC2123"/>
    <w:rsid w:val="00DC2181"/>
    <w:rsid w:val="00DC3C21"/>
    <w:rsid w:val="00DC5B2A"/>
    <w:rsid w:val="00DC691B"/>
    <w:rsid w:val="00DC77AC"/>
    <w:rsid w:val="00DD0983"/>
    <w:rsid w:val="00DD2ED6"/>
    <w:rsid w:val="00DD4FBA"/>
    <w:rsid w:val="00DD6A43"/>
    <w:rsid w:val="00DD79D5"/>
    <w:rsid w:val="00DE0C70"/>
    <w:rsid w:val="00DE3390"/>
    <w:rsid w:val="00DE5195"/>
    <w:rsid w:val="00DE6763"/>
    <w:rsid w:val="00DF0BB3"/>
    <w:rsid w:val="00DF232C"/>
    <w:rsid w:val="00DF25DE"/>
    <w:rsid w:val="00DF26E9"/>
    <w:rsid w:val="00DF34E2"/>
    <w:rsid w:val="00DF59F7"/>
    <w:rsid w:val="00DF618C"/>
    <w:rsid w:val="00DF6954"/>
    <w:rsid w:val="00DF7896"/>
    <w:rsid w:val="00E03BA4"/>
    <w:rsid w:val="00E04524"/>
    <w:rsid w:val="00E06AA0"/>
    <w:rsid w:val="00E10147"/>
    <w:rsid w:val="00E10501"/>
    <w:rsid w:val="00E12152"/>
    <w:rsid w:val="00E1431B"/>
    <w:rsid w:val="00E14992"/>
    <w:rsid w:val="00E15416"/>
    <w:rsid w:val="00E16DBB"/>
    <w:rsid w:val="00E2007C"/>
    <w:rsid w:val="00E2091D"/>
    <w:rsid w:val="00E217AA"/>
    <w:rsid w:val="00E25527"/>
    <w:rsid w:val="00E259DE"/>
    <w:rsid w:val="00E3048F"/>
    <w:rsid w:val="00E30A0C"/>
    <w:rsid w:val="00E321D2"/>
    <w:rsid w:val="00E3335C"/>
    <w:rsid w:val="00E356D0"/>
    <w:rsid w:val="00E3584B"/>
    <w:rsid w:val="00E3647A"/>
    <w:rsid w:val="00E376E0"/>
    <w:rsid w:val="00E37852"/>
    <w:rsid w:val="00E41D53"/>
    <w:rsid w:val="00E4203F"/>
    <w:rsid w:val="00E42213"/>
    <w:rsid w:val="00E425A1"/>
    <w:rsid w:val="00E425F8"/>
    <w:rsid w:val="00E46A46"/>
    <w:rsid w:val="00E518FD"/>
    <w:rsid w:val="00E52199"/>
    <w:rsid w:val="00E53251"/>
    <w:rsid w:val="00E53D98"/>
    <w:rsid w:val="00E53FD2"/>
    <w:rsid w:val="00E54910"/>
    <w:rsid w:val="00E57E8F"/>
    <w:rsid w:val="00E626CC"/>
    <w:rsid w:val="00E66587"/>
    <w:rsid w:val="00E703DE"/>
    <w:rsid w:val="00E7041D"/>
    <w:rsid w:val="00E706A0"/>
    <w:rsid w:val="00E773B0"/>
    <w:rsid w:val="00E82488"/>
    <w:rsid w:val="00E83135"/>
    <w:rsid w:val="00E83988"/>
    <w:rsid w:val="00E84EFE"/>
    <w:rsid w:val="00E8716A"/>
    <w:rsid w:val="00E9185C"/>
    <w:rsid w:val="00E91E44"/>
    <w:rsid w:val="00E926BC"/>
    <w:rsid w:val="00E9365C"/>
    <w:rsid w:val="00EB07B1"/>
    <w:rsid w:val="00EB0DE3"/>
    <w:rsid w:val="00EB1CCB"/>
    <w:rsid w:val="00EB2DF5"/>
    <w:rsid w:val="00EB3431"/>
    <w:rsid w:val="00EB38DE"/>
    <w:rsid w:val="00EB5776"/>
    <w:rsid w:val="00EB7F8E"/>
    <w:rsid w:val="00EC2E19"/>
    <w:rsid w:val="00EC7F1A"/>
    <w:rsid w:val="00EC7FBD"/>
    <w:rsid w:val="00ED1BF6"/>
    <w:rsid w:val="00ED2423"/>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DF2"/>
    <w:rsid w:val="00EF5F35"/>
    <w:rsid w:val="00EF6F57"/>
    <w:rsid w:val="00EF7CF5"/>
    <w:rsid w:val="00F01FEB"/>
    <w:rsid w:val="00F056F4"/>
    <w:rsid w:val="00F05AB4"/>
    <w:rsid w:val="00F07347"/>
    <w:rsid w:val="00F10E0F"/>
    <w:rsid w:val="00F14DF3"/>
    <w:rsid w:val="00F204B5"/>
    <w:rsid w:val="00F22384"/>
    <w:rsid w:val="00F23A32"/>
    <w:rsid w:val="00F26CBC"/>
    <w:rsid w:val="00F26F73"/>
    <w:rsid w:val="00F27FC4"/>
    <w:rsid w:val="00F3572C"/>
    <w:rsid w:val="00F371AF"/>
    <w:rsid w:val="00F40892"/>
    <w:rsid w:val="00F4261B"/>
    <w:rsid w:val="00F43789"/>
    <w:rsid w:val="00F45272"/>
    <w:rsid w:val="00F4739D"/>
    <w:rsid w:val="00F56F14"/>
    <w:rsid w:val="00F62790"/>
    <w:rsid w:val="00F62BB8"/>
    <w:rsid w:val="00F65F81"/>
    <w:rsid w:val="00F66FD0"/>
    <w:rsid w:val="00F67465"/>
    <w:rsid w:val="00F67DA1"/>
    <w:rsid w:val="00F7216E"/>
    <w:rsid w:val="00F74353"/>
    <w:rsid w:val="00F75850"/>
    <w:rsid w:val="00F81001"/>
    <w:rsid w:val="00F8434F"/>
    <w:rsid w:val="00F862F8"/>
    <w:rsid w:val="00F86C66"/>
    <w:rsid w:val="00F9038C"/>
    <w:rsid w:val="00F90AE1"/>
    <w:rsid w:val="00F92044"/>
    <w:rsid w:val="00F92FAD"/>
    <w:rsid w:val="00F949F0"/>
    <w:rsid w:val="00FA0738"/>
    <w:rsid w:val="00FA2E64"/>
    <w:rsid w:val="00FA300B"/>
    <w:rsid w:val="00FA4293"/>
    <w:rsid w:val="00FA71A7"/>
    <w:rsid w:val="00FA7242"/>
    <w:rsid w:val="00FB1F91"/>
    <w:rsid w:val="00FB29A7"/>
    <w:rsid w:val="00FB30C0"/>
    <w:rsid w:val="00FB4E2F"/>
    <w:rsid w:val="00FB5B17"/>
    <w:rsid w:val="00FB5CEF"/>
    <w:rsid w:val="00FB75CE"/>
    <w:rsid w:val="00FD2746"/>
    <w:rsid w:val="00FE1B3A"/>
    <w:rsid w:val="00FE3859"/>
    <w:rsid w:val="00FE48E5"/>
    <w:rsid w:val="00FE684C"/>
    <w:rsid w:val="00FE719E"/>
    <w:rsid w:val="00FF020B"/>
    <w:rsid w:val="00FF323F"/>
    <w:rsid w:val="00FF543C"/>
    <w:rsid w:val="00FF7B14"/>
    <w:rsid w:val="02206FAC"/>
    <w:rsid w:val="02303646"/>
    <w:rsid w:val="02FF76B7"/>
    <w:rsid w:val="03164F39"/>
    <w:rsid w:val="04350936"/>
    <w:rsid w:val="04534DA6"/>
    <w:rsid w:val="0564543E"/>
    <w:rsid w:val="05CB668B"/>
    <w:rsid w:val="06522FDB"/>
    <w:rsid w:val="068913CC"/>
    <w:rsid w:val="078B117D"/>
    <w:rsid w:val="08E231CD"/>
    <w:rsid w:val="0A087976"/>
    <w:rsid w:val="0A6129E1"/>
    <w:rsid w:val="0BEE5F2B"/>
    <w:rsid w:val="0D1667B2"/>
    <w:rsid w:val="0D3B0156"/>
    <w:rsid w:val="0F9F00E3"/>
    <w:rsid w:val="10EE2433"/>
    <w:rsid w:val="122E5448"/>
    <w:rsid w:val="13A116C7"/>
    <w:rsid w:val="14966B6C"/>
    <w:rsid w:val="157106CC"/>
    <w:rsid w:val="159B20CE"/>
    <w:rsid w:val="15F2338C"/>
    <w:rsid w:val="18512E78"/>
    <w:rsid w:val="19D23AA4"/>
    <w:rsid w:val="1ADE4F0A"/>
    <w:rsid w:val="1B30604D"/>
    <w:rsid w:val="1B4A68BD"/>
    <w:rsid w:val="1F496E3D"/>
    <w:rsid w:val="22160CC0"/>
    <w:rsid w:val="22D31A5F"/>
    <w:rsid w:val="230A1533"/>
    <w:rsid w:val="23772C39"/>
    <w:rsid w:val="23A34977"/>
    <w:rsid w:val="241964A8"/>
    <w:rsid w:val="244E003A"/>
    <w:rsid w:val="24CA78F9"/>
    <w:rsid w:val="2501622A"/>
    <w:rsid w:val="269C157F"/>
    <w:rsid w:val="27272134"/>
    <w:rsid w:val="294C7EDC"/>
    <w:rsid w:val="298F39B2"/>
    <w:rsid w:val="29B34DD9"/>
    <w:rsid w:val="2FCE26A8"/>
    <w:rsid w:val="30D76D19"/>
    <w:rsid w:val="31A237C8"/>
    <w:rsid w:val="32193FB2"/>
    <w:rsid w:val="324179A3"/>
    <w:rsid w:val="37EC0D9E"/>
    <w:rsid w:val="3A975F2B"/>
    <w:rsid w:val="3D770441"/>
    <w:rsid w:val="40665AA0"/>
    <w:rsid w:val="41080D37"/>
    <w:rsid w:val="41305DA5"/>
    <w:rsid w:val="4369621D"/>
    <w:rsid w:val="44EE168C"/>
    <w:rsid w:val="45234337"/>
    <w:rsid w:val="46CC78B6"/>
    <w:rsid w:val="48AC0ADB"/>
    <w:rsid w:val="4BAC2962"/>
    <w:rsid w:val="4CEB41F8"/>
    <w:rsid w:val="4D5E3768"/>
    <w:rsid w:val="4DCB4C44"/>
    <w:rsid w:val="4EF84073"/>
    <w:rsid w:val="4F494B1A"/>
    <w:rsid w:val="52296D5A"/>
    <w:rsid w:val="559946EB"/>
    <w:rsid w:val="56AD2236"/>
    <w:rsid w:val="5E2E34C4"/>
    <w:rsid w:val="5E562C3F"/>
    <w:rsid w:val="61B362BB"/>
    <w:rsid w:val="62AB31DD"/>
    <w:rsid w:val="62D919A2"/>
    <w:rsid w:val="67FB2BC4"/>
    <w:rsid w:val="6A05191E"/>
    <w:rsid w:val="6A080EAB"/>
    <w:rsid w:val="6A8308D9"/>
    <w:rsid w:val="6B4013B2"/>
    <w:rsid w:val="6BA94991"/>
    <w:rsid w:val="70D80234"/>
    <w:rsid w:val="70DD6B06"/>
    <w:rsid w:val="71613B6C"/>
    <w:rsid w:val="732920F3"/>
    <w:rsid w:val="73953986"/>
    <w:rsid w:val="73E91891"/>
    <w:rsid w:val="75241211"/>
    <w:rsid w:val="7A7933DE"/>
    <w:rsid w:val="7BBA17E1"/>
    <w:rsid w:val="7BCE5E06"/>
    <w:rsid w:val="7C791689"/>
    <w:rsid w:val="7CC9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1"/>
    <w:qFormat/>
    <w:uiPriority w:val="99"/>
    <w:pPr>
      <w:keepNext/>
      <w:jc w:val="center"/>
      <w:outlineLvl w:val="0"/>
    </w:pPr>
    <w:rPr>
      <w:rFonts w:ascii="楷体_GB2312" w:hAnsi="Times New Roman" w:eastAsia="楷体_GB2312" w:cs="Times New Roman"/>
      <w:b/>
      <w:kern w:val="0"/>
      <w:sz w:val="28"/>
      <w:szCs w:val="20"/>
    </w:rPr>
  </w:style>
  <w:style w:type="paragraph" w:styleId="5">
    <w:name w:val="heading 2"/>
    <w:basedOn w:val="1"/>
    <w:next w:val="1"/>
    <w:link w:val="42"/>
    <w:qFormat/>
    <w:uiPriority w:val="99"/>
    <w:pPr>
      <w:keepNext/>
      <w:jc w:val="center"/>
      <w:outlineLvl w:val="1"/>
    </w:pPr>
    <w:rPr>
      <w:rFonts w:ascii="楷体_GB2312" w:hAnsi="Times New Roman" w:eastAsia="楷体_GB2312" w:cs="Times New Roman"/>
      <w:b/>
      <w:bCs/>
      <w:kern w:val="0"/>
      <w:sz w:val="18"/>
      <w:szCs w:val="20"/>
    </w:rPr>
  </w:style>
  <w:style w:type="paragraph" w:styleId="6">
    <w:name w:val="heading 3"/>
    <w:basedOn w:val="1"/>
    <w:next w:val="1"/>
    <w:link w:val="43"/>
    <w:qFormat/>
    <w:uiPriority w:val="99"/>
    <w:pPr>
      <w:keepNext/>
      <w:jc w:val="center"/>
      <w:outlineLvl w:val="2"/>
    </w:pPr>
    <w:rPr>
      <w:rFonts w:ascii="Times New Roman" w:hAnsi="Times New Roman" w:eastAsia="楷体_GB2312" w:cs="Times New Roman"/>
      <w:b/>
      <w:bCs/>
      <w:kern w:val="0"/>
      <w:sz w:val="15"/>
      <w:szCs w:val="20"/>
    </w:rPr>
  </w:style>
  <w:style w:type="paragraph" w:styleId="7">
    <w:name w:val="heading 4"/>
    <w:basedOn w:val="1"/>
    <w:next w:val="1"/>
    <w:link w:val="44"/>
    <w:qFormat/>
    <w:uiPriority w:val="99"/>
    <w:pPr>
      <w:keepNext/>
      <w:jc w:val="center"/>
      <w:outlineLvl w:val="3"/>
    </w:pPr>
    <w:rPr>
      <w:rFonts w:ascii="Times New Roman" w:hAnsi="Times New Roman" w:eastAsia="楷体_GB2312" w:cs="Times New Roman"/>
      <w:b/>
      <w:bCs/>
      <w:kern w:val="0"/>
      <w:sz w:val="13"/>
      <w:szCs w:val="20"/>
    </w:rPr>
  </w:style>
  <w:style w:type="paragraph" w:styleId="8">
    <w:name w:val="heading 5"/>
    <w:basedOn w:val="1"/>
    <w:next w:val="1"/>
    <w:link w:val="45"/>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9">
    <w:name w:val="heading 6"/>
    <w:basedOn w:val="1"/>
    <w:next w:val="1"/>
    <w:link w:val="11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7"/>
    <w:qFormat/>
    <w:uiPriority w:val="99"/>
    <w:pPr>
      <w:ind w:firstLine="576"/>
    </w:pPr>
    <w:rPr>
      <w:rFonts w:ascii="Times New Roman" w:hAnsi="Times New Roman" w:eastAsia="宋体" w:cs="Times New Roman"/>
      <w:b/>
      <w:kern w:val="0"/>
      <w:sz w:val="30"/>
      <w:szCs w:val="20"/>
    </w:rPr>
  </w:style>
  <w:style w:type="paragraph" w:styleId="3">
    <w:name w:val="envelope return"/>
    <w:basedOn w:val="1"/>
    <w:qFormat/>
    <w:uiPriority w:val="0"/>
    <w:pPr>
      <w:snapToGrid w:val="0"/>
    </w:pPr>
    <w:rPr>
      <w:rFonts w:ascii="Arial" w:hAnsi="Arial" w:eastAsia="楷体_GB2312"/>
      <w:sz w:val="26"/>
      <w:szCs w:val="20"/>
    </w:rPr>
  </w:style>
  <w:style w:type="paragraph" w:styleId="10">
    <w:name w:val="toc 7"/>
    <w:basedOn w:val="1"/>
    <w:next w:val="1"/>
    <w:semiHidden/>
    <w:unhideWhenUsed/>
    <w:qFormat/>
    <w:uiPriority w:val="39"/>
    <w:pPr>
      <w:ind w:left="1260"/>
      <w:jc w:val="left"/>
    </w:pPr>
    <w:rPr>
      <w:sz w:val="20"/>
      <w:szCs w:val="20"/>
    </w:rPr>
  </w:style>
  <w:style w:type="paragraph" w:styleId="11">
    <w:name w:val="Normal Indent"/>
    <w:basedOn w:val="1"/>
    <w:link w:val="124"/>
    <w:qFormat/>
    <w:uiPriority w:val="0"/>
    <w:pPr>
      <w:ind w:firstLine="420"/>
    </w:pPr>
    <w:rPr>
      <w:rFonts w:ascii="Times New Roman" w:hAnsi="Times New Roman" w:eastAsia="宋体" w:cs="Times New Roman"/>
      <w:szCs w:val="20"/>
    </w:rPr>
  </w:style>
  <w:style w:type="paragraph" w:styleId="12">
    <w:name w:val="Document Map"/>
    <w:basedOn w:val="1"/>
    <w:link w:val="106"/>
    <w:semiHidden/>
    <w:qFormat/>
    <w:uiPriority w:val="99"/>
    <w:pPr>
      <w:shd w:val="clear" w:color="auto" w:fill="000080"/>
    </w:pPr>
    <w:rPr>
      <w:rFonts w:ascii="Times New Roman" w:hAnsi="Times New Roman" w:eastAsia="宋体" w:cs="Times New Roman"/>
      <w:kern w:val="0"/>
      <w:sz w:val="20"/>
      <w:szCs w:val="20"/>
    </w:rPr>
  </w:style>
  <w:style w:type="paragraph" w:styleId="13">
    <w:name w:val="annotation text"/>
    <w:basedOn w:val="1"/>
    <w:link w:val="113"/>
    <w:semiHidden/>
    <w:unhideWhenUsed/>
    <w:qFormat/>
    <w:uiPriority w:val="99"/>
    <w:pPr>
      <w:jc w:val="left"/>
    </w:pPr>
  </w:style>
  <w:style w:type="paragraph" w:styleId="14">
    <w:name w:val="Body Text"/>
    <w:basedOn w:val="1"/>
    <w:link w:val="50"/>
    <w:qFormat/>
    <w:uiPriority w:val="99"/>
    <w:rPr>
      <w:rFonts w:ascii="华文中宋" w:hAnsi="Times New Roman" w:eastAsia="华文中宋" w:cs="Times New Roman"/>
      <w:bCs/>
      <w:kern w:val="0"/>
      <w:sz w:val="28"/>
      <w:szCs w:val="20"/>
    </w:rPr>
  </w:style>
  <w:style w:type="paragraph" w:styleId="15">
    <w:name w:val="toc 5"/>
    <w:basedOn w:val="1"/>
    <w:next w:val="1"/>
    <w:semiHidden/>
    <w:unhideWhenUsed/>
    <w:qFormat/>
    <w:uiPriority w:val="39"/>
    <w:pPr>
      <w:ind w:left="840"/>
      <w:jc w:val="left"/>
    </w:pPr>
    <w:rPr>
      <w:sz w:val="20"/>
      <w:szCs w:val="20"/>
    </w:rPr>
  </w:style>
  <w:style w:type="paragraph" w:styleId="16">
    <w:name w:val="toc 3"/>
    <w:basedOn w:val="1"/>
    <w:next w:val="1"/>
    <w:unhideWhenUsed/>
    <w:qFormat/>
    <w:uiPriority w:val="39"/>
    <w:pPr>
      <w:ind w:left="420"/>
      <w:jc w:val="left"/>
    </w:pPr>
    <w:rPr>
      <w:sz w:val="20"/>
      <w:szCs w:val="20"/>
    </w:rPr>
  </w:style>
  <w:style w:type="paragraph" w:styleId="17">
    <w:name w:val="toc 8"/>
    <w:basedOn w:val="1"/>
    <w:next w:val="1"/>
    <w:semiHidden/>
    <w:unhideWhenUsed/>
    <w:qFormat/>
    <w:uiPriority w:val="39"/>
    <w:pPr>
      <w:ind w:left="1470"/>
      <w:jc w:val="left"/>
    </w:pPr>
    <w:rPr>
      <w:sz w:val="20"/>
      <w:szCs w:val="20"/>
    </w:rPr>
  </w:style>
  <w:style w:type="paragraph" w:styleId="18">
    <w:name w:val="Date"/>
    <w:basedOn w:val="1"/>
    <w:next w:val="1"/>
    <w:link w:val="46"/>
    <w:qFormat/>
    <w:uiPriority w:val="0"/>
    <w:rPr>
      <w:rFonts w:ascii="Times New Roman" w:hAnsi="Times New Roman" w:eastAsia="黑体" w:cs="Times New Roman"/>
      <w:b/>
      <w:kern w:val="0"/>
      <w:sz w:val="36"/>
      <w:szCs w:val="20"/>
    </w:rPr>
  </w:style>
  <w:style w:type="paragraph" w:styleId="19">
    <w:name w:val="Body Text Indent 2"/>
    <w:basedOn w:val="1"/>
    <w:link w:val="51"/>
    <w:qFormat/>
    <w:uiPriority w:val="99"/>
    <w:pPr>
      <w:ind w:left="900"/>
    </w:pPr>
    <w:rPr>
      <w:rFonts w:ascii="楷体_GB2312" w:hAnsi="Times New Roman" w:eastAsia="楷体_GB2312" w:cs="Times New Roman"/>
      <w:b/>
      <w:kern w:val="0"/>
      <w:sz w:val="28"/>
      <w:szCs w:val="20"/>
    </w:rPr>
  </w:style>
  <w:style w:type="paragraph" w:styleId="20">
    <w:name w:val="Balloon Text"/>
    <w:basedOn w:val="1"/>
    <w:link w:val="112"/>
    <w:semiHidden/>
    <w:unhideWhenUsed/>
    <w:qFormat/>
    <w:uiPriority w:val="99"/>
    <w:rPr>
      <w:rFonts w:ascii="Times New Roman" w:hAnsi="Times New Roman" w:eastAsia="宋体" w:cs="Times New Roman"/>
      <w:sz w:val="18"/>
      <w:szCs w:val="18"/>
    </w:rPr>
  </w:style>
  <w:style w:type="paragraph" w:styleId="21">
    <w:name w:val="footer"/>
    <w:basedOn w:val="1"/>
    <w:link w:val="4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2">
    <w:name w:val="header"/>
    <w:basedOn w:val="1"/>
    <w:link w:val="4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3">
    <w:name w:val="toc 1"/>
    <w:basedOn w:val="1"/>
    <w:next w:val="1"/>
    <w:unhideWhenUsed/>
    <w:qFormat/>
    <w:uiPriority w:val="39"/>
    <w:pPr>
      <w:tabs>
        <w:tab w:val="right" w:leader="dot" w:pos="9911"/>
      </w:tabs>
      <w:jc w:val="left"/>
    </w:pPr>
    <w:rPr>
      <w:rFonts w:eastAsia="黑体"/>
      <w:sz w:val="28"/>
      <w:szCs w:val="28"/>
    </w:rPr>
  </w:style>
  <w:style w:type="paragraph" w:styleId="24">
    <w:name w:val="toc 4"/>
    <w:basedOn w:val="1"/>
    <w:next w:val="1"/>
    <w:semiHidden/>
    <w:unhideWhenUsed/>
    <w:qFormat/>
    <w:uiPriority w:val="39"/>
    <w:pPr>
      <w:ind w:left="630"/>
      <w:jc w:val="left"/>
    </w:pPr>
    <w:rPr>
      <w:sz w:val="20"/>
      <w:szCs w:val="20"/>
    </w:rPr>
  </w:style>
  <w:style w:type="paragraph" w:styleId="25">
    <w:name w:val="toc 6"/>
    <w:basedOn w:val="1"/>
    <w:next w:val="1"/>
    <w:semiHidden/>
    <w:unhideWhenUsed/>
    <w:qFormat/>
    <w:uiPriority w:val="39"/>
    <w:pPr>
      <w:ind w:left="1050"/>
      <w:jc w:val="left"/>
    </w:pPr>
    <w:rPr>
      <w:sz w:val="20"/>
      <w:szCs w:val="20"/>
    </w:rPr>
  </w:style>
  <w:style w:type="paragraph" w:styleId="26">
    <w:name w:val="Body Text Indent 3"/>
    <w:basedOn w:val="1"/>
    <w:link w:val="52"/>
    <w:qFormat/>
    <w:uiPriority w:val="99"/>
    <w:pPr>
      <w:ind w:left="359" w:leftChars="171" w:firstLine="359" w:firstLineChars="171"/>
    </w:pPr>
    <w:rPr>
      <w:rFonts w:ascii="Times New Roman" w:hAnsi="Times New Roman" w:eastAsia="宋体" w:cs="Times New Roman"/>
      <w:kern w:val="0"/>
      <w:sz w:val="20"/>
      <w:szCs w:val="20"/>
    </w:rPr>
  </w:style>
  <w:style w:type="paragraph" w:styleId="27">
    <w:name w:val="toc 2"/>
    <w:basedOn w:val="1"/>
    <w:next w:val="1"/>
    <w:unhideWhenUsed/>
    <w:qFormat/>
    <w:uiPriority w:val="39"/>
    <w:pPr>
      <w:spacing w:before="120"/>
      <w:ind w:left="210"/>
      <w:jc w:val="left"/>
    </w:pPr>
    <w:rPr>
      <w:i/>
      <w:iCs/>
      <w:sz w:val="20"/>
      <w:szCs w:val="20"/>
    </w:rPr>
  </w:style>
  <w:style w:type="paragraph" w:styleId="28">
    <w:name w:val="toc 9"/>
    <w:basedOn w:val="1"/>
    <w:next w:val="1"/>
    <w:semiHidden/>
    <w:unhideWhenUsed/>
    <w:qFormat/>
    <w:uiPriority w:val="39"/>
    <w:pPr>
      <w:ind w:left="1680"/>
      <w:jc w:val="left"/>
    </w:pPr>
    <w:rPr>
      <w:sz w:val="20"/>
      <w:szCs w:val="20"/>
    </w:rPr>
  </w:style>
  <w:style w:type="paragraph" w:styleId="29">
    <w:name w:val="Body Text 2"/>
    <w:basedOn w:val="1"/>
    <w:link w:val="107"/>
    <w:uiPriority w:val="99"/>
    <w:pPr>
      <w:spacing w:after="120" w:line="480" w:lineRule="auto"/>
    </w:pPr>
    <w:rPr>
      <w:rFonts w:ascii="Times New Roman" w:hAnsi="Times New Roman" w:eastAsia="宋体" w:cs="Times New Roman"/>
      <w:kern w:val="0"/>
      <w:sz w:val="20"/>
      <w:szCs w:val="20"/>
    </w:rPr>
  </w:style>
  <w:style w:type="paragraph" w:styleId="30">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annotation subject"/>
    <w:basedOn w:val="13"/>
    <w:next w:val="13"/>
    <w:link w:val="114"/>
    <w:semiHidden/>
    <w:unhideWhenUsed/>
    <w:uiPriority w:val="99"/>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bCs/>
    </w:rPr>
  </w:style>
  <w:style w:type="character" w:styleId="36">
    <w:name w:val="page number"/>
    <w:uiPriority w:val="99"/>
    <w:rPr>
      <w:rFonts w:cs="Times New Roman"/>
    </w:rPr>
  </w:style>
  <w:style w:type="character" w:styleId="37">
    <w:name w:val="FollowedHyperlink"/>
    <w:semiHidden/>
    <w:unhideWhenUsed/>
    <w:qFormat/>
    <w:uiPriority w:val="99"/>
    <w:rPr>
      <w:color w:val="800080"/>
      <w:u w:val="single"/>
    </w:rPr>
  </w:style>
  <w:style w:type="character" w:styleId="38">
    <w:name w:val="HTML Typewriter"/>
    <w:uiPriority w:val="99"/>
    <w:rPr>
      <w:rFonts w:ascii="宋体" w:hAnsi="宋体" w:eastAsia="宋体" w:cs="宋体"/>
      <w:sz w:val="24"/>
      <w:szCs w:val="24"/>
    </w:rPr>
  </w:style>
  <w:style w:type="character" w:styleId="39">
    <w:name w:val="Hyperlink"/>
    <w:uiPriority w:val="99"/>
    <w:rPr>
      <w:rFonts w:cs="Times New Roman"/>
      <w:color w:val="auto"/>
      <w:u w:val="none"/>
    </w:rPr>
  </w:style>
  <w:style w:type="character" w:styleId="40">
    <w:name w:val="annotation reference"/>
    <w:basedOn w:val="34"/>
    <w:semiHidden/>
    <w:unhideWhenUsed/>
    <w:qFormat/>
    <w:uiPriority w:val="99"/>
    <w:rPr>
      <w:sz w:val="21"/>
      <w:szCs w:val="21"/>
    </w:rPr>
  </w:style>
  <w:style w:type="character" w:customStyle="1" w:styleId="41">
    <w:name w:val="标题 1 Char"/>
    <w:basedOn w:val="34"/>
    <w:link w:val="4"/>
    <w:qFormat/>
    <w:uiPriority w:val="99"/>
    <w:rPr>
      <w:rFonts w:ascii="楷体_GB2312" w:hAnsi="Times New Roman" w:eastAsia="楷体_GB2312" w:cs="Times New Roman"/>
      <w:b/>
      <w:kern w:val="0"/>
      <w:sz w:val="28"/>
      <w:szCs w:val="20"/>
    </w:rPr>
  </w:style>
  <w:style w:type="character" w:customStyle="1" w:styleId="42">
    <w:name w:val="标题 2 Char"/>
    <w:basedOn w:val="34"/>
    <w:link w:val="5"/>
    <w:qFormat/>
    <w:uiPriority w:val="99"/>
    <w:rPr>
      <w:rFonts w:ascii="楷体_GB2312" w:hAnsi="Times New Roman" w:eastAsia="楷体_GB2312" w:cs="Times New Roman"/>
      <w:b/>
      <w:bCs/>
      <w:kern w:val="0"/>
      <w:sz w:val="18"/>
      <w:szCs w:val="20"/>
    </w:rPr>
  </w:style>
  <w:style w:type="character" w:customStyle="1" w:styleId="43">
    <w:name w:val="标题 3 Char"/>
    <w:basedOn w:val="34"/>
    <w:link w:val="6"/>
    <w:qFormat/>
    <w:uiPriority w:val="99"/>
    <w:rPr>
      <w:rFonts w:ascii="Times New Roman" w:hAnsi="Times New Roman" w:eastAsia="楷体_GB2312" w:cs="Times New Roman"/>
      <w:b/>
      <w:bCs/>
      <w:kern w:val="0"/>
      <w:sz w:val="15"/>
      <w:szCs w:val="20"/>
    </w:rPr>
  </w:style>
  <w:style w:type="character" w:customStyle="1" w:styleId="44">
    <w:name w:val="标题 4 Char"/>
    <w:basedOn w:val="34"/>
    <w:link w:val="7"/>
    <w:qFormat/>
    <w:uiPriority w:val="99"/>
    <w:rPr>
      <w:rFonts w:ascii="Times New Roman" w:hAnsi="Times New Roman" w:eastAsia="楷体_GB2312" w:cs="Times New Roman"/>
      <w:b/>
      <w:bCs/>
      <w:kern w:val="0"/>
      <w:sz w:val="13"/>
      <w:szCs w:val="20"/>
    </w:rPr>
  </w:style>
  <w:style w:type="character" w:customStyle="1" w:styleId="45">
    <w:name w:val="标题 5 Char"/>
    <w:basedOn w:val="34"/>
    <w:link w:val="8"/>
    <w:uiPriority w:val="99"/>
    <w:rPr>
      <w:rFonts w:ascii="楷体_GB2312" w:hAnsi="Times New Roman" w:eastAsia="楷体_GB2312" w:cs="Times New Roman"/>
      <w:bCs/>
      <w:sz w:val="28"/>
    </w:rPr>
  </w:style>
  <w:style w:type="character" w:customStyle="1" w:styleId="46">
    <w:name w:val="日期 Char"/>
    <w:basedOn w:val="34"/>
    <w:link w:val="18"/>
    <w:qFormat/>
    <w:uiPriority w:val="99"/>
    <w:rPr>
      <w:rFonts w:ascii="Times New Roman" w:hAnsi="Times New Roman" w:eastAsia="黑体" w:cs="Times New Roman"/>
      <w:b/>
      <w:kern w:val="0"/>
      <w:sz w:val="36"/>
      <w:szCs w:val="20"/>
    </w:rPr>
  </w:style>
  <w:style w:type="character" w:customStyle="1" w:styleId="47">
    <w:name w:val="正文文本缩进 Char"/>
    <w:basedOn w:val="34"/>
    <w:link w:val="2"/>
    <w:qFormat/>
    <w:uiPriority w:val="99"/>
    <w:rPr>
      <w:rFonts w:ascii="Times New Roman" w:hAnsi="Times New Roman" w:eastAsia="宋体" w:cs="Times New Roman"/>
      <w:b/>
      <w:kern w:val="0"/>
      <w:sz w:val="30"/>
      <w:szCs w:val="20"/>
    </w:rPr>
  </w:style>
  <w:style w:type="character" w:customStyle="1" w:styleId="48">
    <w:name w:val="页脚 Char"/>
    <w:basedOn w:val="34"/>
    <w:link w:val="21"/>
    <w:qFormat/>
    <w:uiPriority w:val="99"/>
    <w:rPr>
      <w:rFonts w:ascii="Times New Roman" w:hAnsi="Times New Roman" w:eastAsia="宋体" w:cs="Times New Roman"/>
      <w:kern w:val="0"/>
      <w:sz w:val="18"/>
      <w:szCs w:val="20"/>
    </w:rPr>
  </w:style>
  <w:style w:type="character" w:customStyle="1" w:styleId="49">
    <w:name w:val="页眉 Char"/>
    <w:basedOn w:val="34"/>
    <w:link w:val="22"/>
    <w:qFormat/>
    <w:uiPriority w:val="99"/>
    <w:rPr>
      <w:rFonts w:ascii="Times New Roman" w:hAnsi="Times New Roman" w:eastAsia="宋体" w:cs="Times New Roman"/>
      <w:kern w:val="0"/>
      <w:sz w:val="18"/>
      <w:szCs w:val="20"/>
    </w:rPr>
  </w:style>
  <w:style w:type="character" w:customStyle="1" w:styleId="50">
    <w:name w:val="正文文本 Char"/>
    <w:basedOn w:val="34"/>
    <w:link w:val="14"/>
    <w:qFormat/>
    <w:uiPriority w:val="99"/>
    <w:rPr>
      <w:rFonts w:ascii="华文中宋" w:hAnsi="Times New Roman" w:eastAsia="华文中宋" w:cs="Times New Roman"/>
      <w:bCs/>
      <w:kern w:val="0"/>
      <w:sz w:val="28"/>
      <w:szCs w:val="20"/>
    </w:rPr>
  </w:style>
  <w:style w:type="character" w:customStyle="1" w:styleId="51">
    <w:name w:val="正文文本缩进 2 Char"/>
    <w:basedOn w:val="34"/>
    <w:link w:val="19"/>
    <w:uiPriority w:val="99"/>
    <w:rPr>
      <w:rFonts w:ascii="楷体_GB2312" w:hAnsi="Times New Roman" w:eastAsia="楷体_GB2312" w:cs="Times New Roman"/>
      <w:b/>
      <w:kern w:val="0"/>
      <w:sz w:val="28"/>
      <w:szCs w:val="20"/>
    </w:rPr>
  </w:style>
  <w:style w:type="character" w:customStyle="1" w:styleId="52">
    <w:name w:val="正文文本缩进 3 Char"/>
    <w:basedOn w:val="34"/>
    <w:link w:val="26"/>
    <w:uiPriority w:val="99"/>
    <w:rPr>
      <w:rFonts w:ascii="Times New Roman" w:hAnsi="Times New Roman" w:eastAsia="宋体" w:cs="Times New Roman"/>
      <w:kern w:val="0"/>
      <w:sz w:val="20"/>
      <w:szCs w:val="20"/>
    </w:rPr>
  </w:style>
  <w:style w:type="paragraph" w:customStyle="1" w:styleId="53">
    <w:name w:val="font5"/>
    <w:basedOn w:val="1"/>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4">
    <w:name w:val="font6"/>
    <w:basedOn w:val="1"/>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5">
    <w:name w:val="font7"/>
    <w:basedOn w:val="1"/>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6">
    <w:name w:val="font8"/>
    <w:basedOn w:val="1"/>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7">
    <w:name w:val="font9"/>
    <w:basedOn w:val="1"/>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6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7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5">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8">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9">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1">
    <w:name w:val="xl57"/>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8"/>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59"/>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0"/>
    <w:basedOn w:val="1"/>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1"/>
    <w:basedOn w:val="1"/>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2"/>
    <w:basedOn w:val="1"/>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7">
    <w:name w:val="xl63"/>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8">
    <w:name w:val="font10"/>
    <w:basedOn w:val="1"/>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9">
    <w:name w:val="font11"/>
    <w:basedOn w:val="1"/>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100">
    <w:name w:val="font12"/>
    <w:basedOn w:val="1"/>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1">
    <w:name w:val="font13"/>
    <w:basedOn w:val="1"/>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2">
    <w:name w:val="font14"/>
    <w:basedOn w:val="1"/>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3">
    <w:name w:val="case31"/>
    <w:uiPriority w:val="99"/>
    <w:rPr>
      <w:rFonts w:cs="Times New Roman"/>
      <w:spacing w:val="390"/>
      <w:sz w:val="21"/>
      <w:szCs w:val="21"/>
    </w:rPr>
  </w:style>
  <w:style w:type="paragraph" w:customStyle="1" w:styleId="104">
    <w:name w:val="普通文字"/>
    <w:basedOn w:val="1"/>
    <w:next w:val="1"/>
    <w:uiPriority w:val="99"/>
    <w:rPr>
      <w:rFonts w:ascii="宋体" w:hAnsi="Times New Roman" w:eastAsia="宋体" w:cs="Times New Roman"/>
      <w:kern w:val="0"/>
      <w:sz w:val="24"/>
      <w:szCs w:val="20"/>
      <w:u w:color="000000"/>
    </w:rPr>
  </w:style>
  <w:style w:type="paragraph" w:customStyle="1" w:styleId="105">
    <w:name w:val="默认段落字体 Para Char"/>
    <w:basedOn w:val="1"/>
    <w:uiPriority w:val="99"/>
    <w:pPr>
      <w:tabs>
        <w:tab w:val="left" w:pos="552"/>
      </w:tabs>
      <w:ind w:left="552" w:hanging="420"/>
    </w:pPr>
    <w:rPr>
      <w:rFonts w:ascii="Times New Roman" w:hAnsi="Times New Roman" w:eastAsia="宋体" w:cs="Times New Roman"/>
      <w:sz w:val="24"/>
      <w:szCs w:val="24"/>
    </w:rPr>
  </w:style>
  <w:style w:type="character" w:customStyle="1" w:styleId="106">
    <w:name w:val="文档结构图 Char"/>
    <w:basedOn w:val="34"/>
    <w:link w:val="12"/>
    <w:semiHidden/>
    <w:uiPriority w:val="99"/>
    <w:rPr>
      <w:rFonts w:ascii="Times New Roman" w:hAnsi="Times New Roman" w:eastAsia="宋体" w:cs="Times New Roman"/>
      <w:kern w:val="0"/>
      <w:sz w:val="20"/>
      <w:szCs w:val="20"/>
      <w:shd w:val="clear" w:color="auto" w:fill="000080"/>
    </w:rPr>
  </w:style>
  <w:style w:type="character" w:customStyle="1" w:styleId="107">
    <w:name w:val="正文文本 2 Char"/>
    <w:basedOn w:val="34"/>
    <w:link w:val="29"/>
    <w:uiPriority w:val="99"/>
    <w:rPr>
      <w:rFonts w:ascii="Times New Roman" w:hAnsi="Times New Roman" w:eastAsia="宋体" w:cs="Times New Roman"/>
      <w:kern w:val="0"/>
      <w:sz w:val="20"/>
      <w:szCs w:val="20"/>
    </w:rPr>
  </w:style>
  <w:style w:type="paragraph" w:customStyle="1" w:styleId="108">
    <w:name w:val="Char Char Char Char"/>
    <w:basedOn w:val="12"/>
    <w:uiPriority w:val="99"/>
    <w:pPr>
      <w:adjustRightInd w:val="0"/>
      <w:snapToGrid w:val="0"/>
      <w:spacing w:line="360" w:lineRule="auto"/>
    </w:pPr>
    <w:rPr>
      <w:rFonts w:ascii="Tahoma" w:hAnsi="Tahoma"/>
      <w:sz w:val="24"/>
      <w:szCs w:val="24"/>
    </w:rPr>
  </w:style>
  <w:style w:type="paragraph" w:customStyle="1" w:styleId="109">
    <w:name w:val="Char Char1 Char Char Char Char"/>
    <w:basedOn w:val="12"/>
    <w:uiPriority w:val="99"/>
    <w:pPr>
      <w:adjustRightInd w:val="0"/>
      <w:spacing w:line="436" w:lineRule="exact"/>
      <w:ind w:left="357"/>
      <w:jc w:val="left"/>
      <w:outlineLvl w:val="3"/>
    </w:pPr>
    <w:rPr>
      <w:rFonts w:ascii="Tahoma" w:hAnsi="Tahoma"/>
      <w:b/>
      <w:sz w:val="24"/>
      <w:szCs w:val="24"/>
    </w:rPr>
  </w:style>
  <w:style w:type="paragraph" w:styleId="110">
    <w:name w:val="List Paragraph"/>
    <w:basedOn w:val="1"/>
    <w:qFormat/>
    <w:uiPriority w:val="34"/>
    <w:pPr>
      <w:ind w:firstLine="420" w:firstLineChars="200"/>
    </w:pPr>
    <w:rPr>
      <w:rFonts w:ascii="Times New Roman" w:hAnsi="Times New Roman" w:eastAsia="宋体" w:cs="Times New Roman"/>
      <w:szCs w:val="20"/>
    </w:rPr>
  </w:style>
  <w:style w:type="paragraph" w:customStyle="1" w:styleId="111">
    <w:name w:val="修订1"/>
    <w:hidden/>
    <w:semiHidden/>
    <w:uiPriority w:val="99"/>
    <w:rPr>
      <w:rFonts w:ascii="Times New Roman" w:hAnsi="Times New Roman" w:eastAsia="宋体" w:cs="Times New Roman"/>
      <w:kern w:val="2"/>
      <w:sz w:val="21"/>
      <w:lang w:val="en-US" w:eastAsia="zh-CN" w:bidi="ar-SA"/>
    </w:rPr>
  </w:style>
  <w:style w:type="character" w:customStyle="1" w:styleId="112">
    <w:name w:val="批注框文本 Char"/>
    <w:basedOn w:val="34"/>
    <w:link w:val="20"/>
    <w:semiHidden/>
    <w:uiPriority w:val="99"/>
    <w:rPr>
      <w:rFonts w:ascii="Times New Roman" w:hAnsi="Times New Roman" w:eastAsia="宋体" w:cs="Times New Roman"/>
      <w:sz w:val="18"/>
      <w:szCs w:val="18"/>
    </w:rPr>
  </w:style>
  <w:style w:type="character" w:customStyle="1" w:styleId="113">
    <w:name w:val="批注文字 Char"/>
    <w:basedOn w:val="34"/>
    <w:link w:val="13"/>
    <w:semiHidden/>
    <w:qFormat/>
    <w:uiPriority w:val="99"/>
  </w:style>
  <w:style w:type="character" w:customStyle="1" w:styleId="114">
    <w:name w:val="批注主题 Char"/>
    <w:basedOn w:val="113"/>
    <w:link w:val="31"/>
    <w:semiHidden/>
    <w:qFormat/>
    <w:uiPriority w:val="99"/>
    <w:rPr>
      <w:b/>
      <w:bCs/>
    </w:rPr>
  </w:style>
  <w:style w:type="paragraph" w:customStyle="1" w:styleId="115">
    <w:name w:val="列表段落1"/>
    <w:basedOn w:val="1"/>
    <w:qFormat/>
    <w:uiPriority w:val="99"/>
    <w:pPr>
      <w:ind w:firstLine="420" w:firstLineChars="200"/>
    </w:pPr>
    <w:rPr>
      <w:rFonts w:ascii="Times New Roman" w:hAnsi="Times New Roman" w:eastAsia="宋体" w:cs="Times New Roman"/>
      <w:szCs w:val="21"/>
    </w:rPr>
  </w:style>
  <w:style w:type="character" w:customStyle="1" w:styleId="116">
    <w:name w:val="标题 6 Char"/>
    <w:basedOn w:val="34"/>
    <w:link w:val="9"/>
    <w:uiPriority w:val="9"/>
    <w:rPr>
      <w:rFonts w:asciiTheme="majorHAnsi" w:hAnsiTheme="majorHAnsi" w:eastAsiaTheme="majorEastAsia" w:cstheme="majorBidi"/>
      <w:b/>
      <w:bCs/>
      <w:kern w:val="2"/>
      <w:sz w:val="24"/>
      <w:szCs w:val="24"/>
    </w:rPr>
  </w:style>
  <w:style w:type="paragraph" w:customStyle="1" w:styleId="117">
    <w:name w:val="TOC 标题1"/>
    <w:basedOn w:val="4"/>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66091" w:themeColor="accent1" w:themeShade="BF"/>
      <w:szCs w:val="28"/>
    </w:rPr>
  </w:style>
  <w:style w:type="paragraph" w:customStyle="1" w:styleId="11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9">
    <w:name w:val="Í¼±íÕýÎÄ"/>
    <w:basedOn w:val="1"/>
    <w:next w:val="11"/>
    <w:qFormat/>
    <w:uiPriority w:val="0"/>
    <w:pPr>
      <w:ind w:firstLine="420" w:firstLineChars="200"/>
    </w:pPr>
    <w:rPr>
      <w:rFonts w:ascii="Times New Roman" w:hAnsi="Times New Roman" w:eastAsia="宋体" w:cs="Times New Roman"/>
      <w:sz w:val="24"/>
      <w:szCs w:val="20"/>
    </w:rPr>
  </w:style>
  <w:style w:type="character" w:customStyle="1" w:styleId="120">
    <w:name w:val="未处理的提及1"/>
    <w:basedOn w:val="34"/>
    <w:semiHidden/>
    <w:unhideWhenUsed/>
    <w:qFormat/>
    <w:uiPriority w:val="99"/>
    <w:rPr>
      <w:color w:val="605E5C"/>
      <w:shd w:val="clear" w:color="auto" w:fill="E1DFDD"/>
    </w:rPr>
  </w:style>
  <w:style w:type="paragraph" w:customStyle="1" w:styleId="121">
    <w:name w:val="标题2"/>
    <w:basedOn w:val="5"/>
    <w:next w:val="1"/>
    <w:qFormat/>
    <w:uiPriority w:val="0"/>
    <w:pPr>
      <w:spacing w:line="360" w:lineRule="auto"/>
    </w:pPr>
    <w:rPr>
      <w:rFonts w:ascii="黑体" w:hAnsi="黑体" w:eastAsia="黑体"/>
      <w:b w:val="0"/>
      <w:sz w:val="32"/>
      <w:szCs w:val="32"/>
    </w:rPr>
  </w:style>
  <w:style w:type="paragraph" w:customStyle="1" w:styleId="122">
    <w:name w:val="标题1"/>
    <w:basedOn w:val="4"/>
    <w:next w:val="1"/>
    <w:qFormat/>
    <w:uiPriority w:val="0"/>
    <w:pPr>
      <w:spacing w:line="360" w:lineRule="auto"/>
    </w:pPr>
    <w:rPr>
      <w:rFonts w:ascii="黑体" w:hAnsi="黑体" w:eastAsia="黑体"/>
      <w:b w:val="0"/>
      <w:bCs/>
      <w:szCs w:val="28"/>
    </w:rPr>
  </w:style>
  <w:style w:type="paragraph" w:customStyle="1" w:styleId="123">
    <w:name w:val="标题1-1"/>
    <w:basedOn w:val="4"/>
    <w:next w:val="1"/>
    <w:qFormat/>
    <w:uiPriority w:val="0"/>
    <w:pPr>
      <w:jc w:val="left"/>
    </w:pPr>
    <w:rPr>
      <w:rFonts w:ascii="黑体" w:hAnsi="宋体" w:eastAsia="黑体"/>
      <w:b w:val="0"/>
      <w:bCs/>
      <w:color w:val="000000" w:themeColor="text1"/>
      <w:sz w:val="24"/>
      <w:szCs w:val="24"/>
    </w:rPr>
  </w:style>
  <w:style w:type="character" w:customStyle="1" w:styleId="124">
    <w:name w:val="正文缩进 Char"/>
    <w:link w:val="11"/>
    <w:qFormat/>
    <w:uiPriority w:val="0"/>
    <w:rPr>
      <w:rFonts w:ascii="Times New Roman" w:hAnsi="Times New Roman" w:eastAsia="宋体" w:cs="Times New Roman"/>
      <w:kern w:val="2"/>
      <w:sz w:val="21"/>
    </w:rPr>
  </w:style>
  <w:style w:type="table" w:customStyle="1" w:styleId="125">
    <w:name w:val="Grid Table Light"/>
    <w:basedOn w:val="32"/>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6">
    <w:name w:val="正文缩进1"/>
    <w:basedOn w:val="1"/>
    <w:qFormat/>
    <w:uiPriority w:val="0"/>
    <w:pPr>
      <w:autoSpaceDE w:val="0"/>
      <w:autoSpaceDN w:val="0"/>
      <w:adjustRightInd w:val="0"/>
      <w:ind w:firstLine="420"/>
      <w:jc w:val="left"/>
    </w:pPr>
    <w:rPr>
      <w:rFonts w:ascii="宋体"/>
      <w:sz w:val="24"/>
    </w:rPr>
  </w:style>
  <w:style w:type="paragraph" w:customStyle="1" w:styleId="127">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8">
    <w:name w:val="网格型1"/>
    <w:basedOn w:val="3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Grid Table Light1"/>
    <w:basedOn w:val="32"/>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30">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1">
    <w:name w:val="日期 字符1"/>
    <w:locked/>
    <w:uiPriority w:val="0"/>
    <w:rPr>
      <w:kern w:val="2"/>
      <w:sz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3">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4">
    <w:name w:val="纯文本1"/>
    <w:basedOn w:val="1"/>
    <w:qFormat/>
    <w:uiPriority w:val="0"/>
    <w:rPr>
      <w:rFonts w:ascii="宋体" w:hAnsi="Courier New" w:eastAsia="宋体" w:cs="Times New Roman"/>
      <w:kern w:val="0"/>
      <w:sz w:val="20"/>
      <w:szCs w:val="20"/>
    </w:rPr>
  </w:style>
  <w:style w:type="character" w:customStyle="1" w:styleId="135">
    <w:name w:val="正文1"/>
    <w:basedOn w:val="34"/>
    <w:qFormat/>
    <w:uiPriority w:val="0"/>
  </w:style>
  <w:style w:type="paragraph" w:customStyle="1" w:styleId="1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3473-1BC7-4F3D-A08B-D28398FB416D}">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54</Pages>
  <Words>3991</Words>
  <Characters>22752</Characters>
  <Lines>189</Lines>
  <Paragraphs>53</Paragraphs>
  <TotalTime>3</TotalTime>
  <ScaleCrop>false</ScaleCrop>
  <LinksUpToDate>false</LinksUpToDate>
  <CharactersWithSpaces>26690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2022-01-17T13:56:00Z</dcterms:created>
  <dc:creator>黄炜</dc:creator>
  <cp:lastModifiedBy>CZZC</cp:lastModifiedBy>
  <cp:lastPrinted>2020-11-09T11:25:00Z</cp:lastPrinted>
  <dcterms:modified xsi:type="dcterms:W3CDTF">2022-01-18T06:51:44Z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82AEA4BE82134466ADF560A3290312B2</vt:lpwstr>
  </property>
</Properties>
</file>